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388/2022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1C129B" w:rsidP="00AB6ECF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  <w:r w:rsidRPr="001C129B">
        <w:rPr>
          <w:rFonts w:ascii="Times New Roman" w:hAnsi="Times New Roman" w:cs="Times New Roman"/>
          <w:szCs w:val="26"/>
        </w:rPr>
        <w:t>A Câmara Municipal de Itapevi, por meio d</w:t>
      </w:r>
      <w:r w:rsidR="00B75797">
        <w:rPr>
          <w:rFonts w:ascii="Times New Roman" w:hAnsi="Times New Roman" w:cs="Times New Roman"/>
          <w:szCs w:val="26"/>
        </w:rPr>
        <w:t>os</w:t>
      </w:r>
      <w:r w:rsidRPr="001C129B">
        <w:rPr>
          <w:rFonts w:ascii="Times New Roman" w:hAnsi="Times New Roman" w:cs="Times New Roman"/>
          <w:szCs w:val="26"/>
        </w:rPr>
        <w:t xml:space="preserve"> Vereador</w:t>
      </w:r>
      <w:r w:rsidR="00B75797">
        <w:rPr>
          <w:rFonts w:ascii="Times New Roman" w:hAnsi="Times New Roman" w:cs="Times New Roman"/>
          <w:szCs w:val="26"/>
        </w:rPr>
        <w:t xml:space="preserve">es que </w:t>
      </w:r>
      <w:r w:rsidRPr="001C129B">
        <w:rPr>
          <w:rFonts w:ascii="Times New Roman" w:hAnsi="Times New Roman" w:cs="Times New Roman"/>
          <w:szCs w:val="26"/>
        </w:rPr>
        <w:t>subscreve</w:t>
      </w:r>
      <w:r w:rsidR="00B75797">
        <w:rPr>
          <w:rFonts w:ascii="Times New Roman" w:hAnsi="Times New Roman" w:cs="Times New Roman"/>
          <w:szCs w:val="26"/>
        </w:rPr>
        <w:t>m</w:t>
      </w:r>
      <w:r w:rsidRPr="001C129B">
        <w:rPr>
          <w:rFonts w:ascii="Times New Roman" w:hAnsi="Times New Roman" w:cs="Times New Roman"/>
          <w:szCs w:val="26"/>
        </w:rPr>
        <w:t xml:space="preserve"> este documento, aprova Moção de </w:t>
      </w:r>
      <w:r w:rsidRPr="001C129B" w:rsidR="008267FD">
        <w:rPr>
          <w:rFonts w:ascii="Times New Roman" w:hAnsi="Times New Roman" w:cs="Times New Roman"/>
          <w:szCs w:val="26"/>
        </w:rPr>
        <w:t>Repúdio</w:t>
      </w:r>
      <w:r w:rsidRPr="001C129B">
        <w:rPr>
          <w:rFonts w:ascii="Times New Roman" w:hAnsi="Times New Roman" w:cs="Times New Roman"/>
          <w:szCs w:val="26"/>
        </w:rPr>
        <w:t xml:space="preserve"> </w:t>
      </w:r>
      <w:r w:rsidR="007E0470">
        <w:rPr>
          <w:rFonts w:ascii="Times New Roman" w:hAnsi="Times New Roman" w:cs="Times New Roman"/>
          <w:szCs w:val="26"/>
        </w:rPr>
        <w:t>a decisão do Superior Tribunal de Justiça que</w:t>
      </w:r>
      <w:r w:rsidR="00B75797">
        <w:rPr>
          <w:rFonts w:ascii="Times New Roman" w:hAnsi="Times New Roman" w:cs="Times New Roman"/>
          <w:szCs w:val="26"/>
        </w:rPr>
        <w:t>, entre outros,</w:t>
      </w:r>
      <w:r w:rsidR="007E0470">
        <w:rPr>
          <w:rFonts w:ascii="Times New Roman" w:hAnsi="Times New Roman" w:cs="Times New Roman"/>
          <w:szCs w:val="26"/>
        </w:rPr>
        <w:t xml:space="preserve"> tornou taxativo o rol de procedimentos da Agencia Nacional de Saúde, e a desobrigação das operadoras de saúde em arcar com tratamentos não previstos da lista</w:t>
      </w:r>
      <w:r w:rsidRPr="001C129B">
        <w:rPr>
          <w:rFonts w:ascii="Times New Roman" w:hAnsi="Times New Roman" w:cs="Times New Roman"/>
          <w:szCs w:val="26"/>
        </w:rPr>
        <w:t xml:space="preserve">. </w:t>
      </w:r>
    </w:p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 w:val="14"/>
          <w:szCs w:val="26"/>
        </w:rPr>
      </w:pPr>
    </w:p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 w:rsidRPr="001C129B">
        <w:rPr>
          <w:rFonts w:ascii="Times New Roman" w:hAnsi="Times New Roman" w:cs="Times New Roman"/>
          <w:b/>
          <w:szCs w:val="26"/>
        </w:rPr>
        <w:t>JUSTIFICATIVA</w:t>
      </w:r>
    </w:p>
    <w:p w:rsidR="007E0470" w:rsidP="009834ED">
      <w:pPr>
        <w:ind w:left="708" w:firstLine="708"/>
        <w:jc w:val="both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t xml:space="preserve">Tal decisão se deu em julgamento finalizado na quarta-feira 08/06/2022 por maioria de votos, definindo as seguintes teses: </w:t>
      </w:r>
    </w:p>
    <w:p w:rsidR="007E0470" w:rsidRPr="007E0470" w:rsidP="007E0470">
      <w:pPr>
        <w:ind w:left="1418"/>
        <w:jc w:val="both"/>
        <w:rPr>
          <w:rFonts w:ascii="Times New Roman" w:hAnsi="Times New Roman" w:cs="Times New Roman"/>
          <w:szCs w:val="26"/>
        </w:rPr>
      </w:pPr>
      <w:r w:rsidRPr="007E0470">
        <w:rPr>
          <w:rFonts w:ascii="Times New Roman" w:hAnsi="Times New Roman" w:cs="Times New Roman"/>
          <w:szCs w:val="26"/>
        </w:rPr>
        <w:t>1. O rol de procedimentos e eventos em saúde suplementar é, em regra, taxativo;</w:t>
      </w:r>
    </w:p>
    <w:p w:rsidR="007E0470" w:rsidRPr="007E0470" w:rsidP="007E0470">
      <w:pPr>
        <w:ind w:left="1418"/>
        <w:jc w:val="both"/>
        <w:rPr>
          <w:rFonts w:ascii="Times New Roman" w:hAnsi="Times New Roman" w:cs="Times New Roman"/>
          <w:szCs w:val="26"/>
        </w:rPr>
      </w:pPr>
      <w:r w:rsidRPr="007E0470">
        <w:rPr>
          <w:rFonts w:ascii="Times New Roman" w:hAnsi="Times New Roman" w:cs="Times New Roman"/>
          <w:szCs w:val="26"/>
        </w:rPr>
        <w:t>2.  A operadora de plano ou seguro de saúde não é obrigada a arcar com tratamento não constante do rol da ANS se existe, para a cura do paciente, outro procedimento eficaz, efetivo e seguro já incorporado ao rol;</w:t>
      </w:r>
    </w:p>
    <w:p w:rsidR="007E0470" w:rsidRPr="007E0470" w:rsidP="007E0470">
      <w:pPr>
        <w:ind w:left="1418"/>
        <w:jc w:val="both"/>
        <w:rPr>
          <w:rFonts w:ascii="Times New Roman" w:hAnsi="Times New Roman" w:cs="Times New Roman"/>
          <w:szCs w:val="26"/>
        </w:rPr>
      </w:pPr>
      <w:r w:rsidRPr="007E0470">
        <w:rPr>
          <w:rFonts w:ascii="Times New Roman" w:hAnsi="Times New Roman" w:cs="Times New Roman"/>
          <w:szCs w:val="26"/>
        </w:rPr>
        <w:t>3. É possível a contratação de cobertura ampliada ou a negociação de aditivo contratual para a cobertura de procedimento extra rol;</w:t>
      </w:r>
    </w:p>
    <w:p w:rsidR="00323D7E" w:rsidP="00B75797">
      <w:pPr>
        <w:ind w:left="1418"/>
        <w:jc w:val="both"/>
        <w:rPr>
          <w:rFonts w:ascii="Times New Roman" w:hAnsi="Times New Roman" w:cs="Times New Roman"/>
          <w:szCs w:val="26"/>
        </w:rPr>
      </w:pPr>
      <w:r w:rsidRPr="007E0470">
        <w:rPr>
          <w:rFonts w:ascii="Times New Roman" w:hAnsi="Times New Roman" w:cs="Times New Roman"/>
          <w:szCs w:val="26"/>
        </w:rPr>
        <w:t>4. Não havendo substituto terapêutico ou esgotados os procedimentos do rol da ANS, pode haver, a título excepcional, a cobertura do tratamento indicado pelo médico ou odontólogo assistente, desde que (i) não tenha sido indeferido expressamente, pela ANS, a incorporação do procedimento ao rol da saúde suplementar; (</w:t>
      </w:r>
      <w:r w:rsidRPr="007E0470">
        <w:rPr>
          <w:rFonts w:ascii="Times New Roman" w:hAnsi="Times New Roman" w:cs="Times New Roman"/>
          <w:szCs w:val="26"/>
        </w:rPr>
        <w:t>ii</w:t>
      </w:r>
      <w:r w:rsidRPr="007E0470">
        <w:rPr>
          <w:rFonts w:ascii="Times New Roman" w:hAnsi="Times New Roman" w:cs="Times New Roman"/>
          <w:szCs w:val="26"/>
        </w:rPr>
        <w:t>) haja comprovação da eficácia do tratamento à luz da medicina baseada em evidências; (</w:t>
      </w:r>
      <w:r w:rsidRPr="007E0470">
        <w:rPr>
          <w:rFonts w:ascii="Times New Roman" w:hAnsi="Times New Roman" w:cs="Times New Roman"/>
          <w:szCs w:val="26"/>
        </w:rPr>
        <w:t>iii</w:t>
      </w:r>
      <w:r w:rsidRPr="007E0470">
        <w:rPr>
          <w:rFonts w:ascii="Times New Roman" w:hAnsi="Times New Roman" w:cs="Times New Roman"/>
          <w:szCs w:val="26"/>
        </w:rPr>
        <w:t xml:space="preserve">) haja recomendações de órgãos técnicos de renome nacionais (como </w:t>
      </w:r>
      <w:r w:rsidRPr="007E0470">
        <w:rPr>
          <w:rFonts w:ascii="Times New Roman" w:hAnsi="Times New Roman" w:cs="Times New Roman"/>
          <w:szCs w:val="26"/>
        </w:rPr>
        <w:t>Conitec</w:t>
      </w:r>
      <w:r w:rsidRPr="007E0470">
        <w:rPr>
          <w:rFonts w:ascii="Times New Roman" w:hAnsi="Times New Roman" w:cs="Times New Roman"/>
          <w:szCs w:val="26"/>
        </w:rPr>
        <w:t xml:space="preserve"> e </w:t>
      </w:r>
      <w:r w:rsidRPr="007E0470">
        <w:rPr>
          <w:rFonts w:ascii="Times New Roman" w:hAnsi="Times New Roman" w:cs="Times New Roman"/>
          <w:szCs w:val="26"/>
        </w:rPr>
        <w:t>Natjus</w:t>
      </w:r>
      <w:r w:rsidRPr="007E0470">
        <w:rPr>
          <w:rFonts w:ascii="Times New Roman" w:hAnsi="Times New Roman" w:cs="Times New Roman"/>
          <w:szCs w:val="26"/>
        </w:rPr>
        <w:t>) e estrangeiros; e (</w:t>
      </w:r>
      <w:r w:rsidRPr="007E0470">
        <w:rPr>
          <w:rFonts w:ascii="Times New Roman" w:hAnsi="Times New Roman" w:cs="Times New Roman"/>
          <w:szCs w:val="26"/>
        </w:rPr>
        <w:t>iv</w:t>
      </w:r>
      <w:r w:rsidRPr="007E0470">
        <w:rPr>
          <w:rFonts w:ascii="Times New Roman" w:hAnsi="Times New Roman" w:cs="Times New Roman"/>
          <w:szCs w:val="26"/>
        </w:rPr>
        <w:t>) seja realizado, quando possível, o diálogo interinstitucional do magistrado com entes ou pessoas com expertise técnica na área da saúde, incluída a Comissão de Atualização do Rol de Procedimentos e Eventos em Saúde Suplementar, sem deslocamento da competência do julgamento do feito para a Justiça Federal, ante a ilegitimidade passiva ad causam da ANS.</w:t>
      </w:r>
      <w:r w:rsidRPr="001C129B" w:rsidR="00AB6ECF">
        <w:rPr>
          <w:rFonts w:ascii="Times New Roman" w:hAnsi="Times New Roman" w:cs="Times New Roman"/>
          <w:szCs w:val="26"/>
        </w:rPr>
        <w:t xml:space="preserve"> </w:t>
      </w:r>
    </w:p>
    <w:p w:rsidR="00B75797" w:rsidP="00B75797">
      <w:pPr>
        <w:ind w:left="567" w:firstLine="850"/>
        <w:jc w:val="both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t>O rol de procedimentos da ANS é básico e não contempla muitos tratamentos como medicamentos recém aprovados, alguns tipos de quimioterapia oral e de radioterapia, e cirurgias com técnicas robóticas, e além disso, a ANS limita o número de sessões de algumas terapias essenciais para autistas e vários outros tipos de deficiência e muitos pacientes necessitam de mais sessões do que as estipuladas para conseguir resultados com essas terapias, salientando ainda que antes da decisão do STJ, era possível conseguir a aprovação de pagamento dessas sessões adicionais pelos planos de Saúde.</w:t>
      </w:r>
    </w:p>
    <w:p w:rsidR="00B75797" w:rsidP="00B75797">
      <w:pPr>
        <w:ind w:left="567" w:firstLine="850"/>
        <w:jc w:val="both"/>
        <w:rPr>
          <w:rFonts w:ascii="Times New Roman" w:hAnsi="Times New Roman" w:cs="Times New Roman"/>
          <w:szCs w:val="26"/>
        </w:rPr>
      </w:pPr>
    </w:p>
    <w:p w:rsidR="00187417" w:rsidRPr="001C129B" w:rsidP="00B75797">
      <w:pPr>
        <w:ind w:left="567" w:firstLine="850"/>
        <w:jc w:val="both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t>Por isso, peço aos Nobres Pares desta Casa de Leis que votem favorável à esta moção de repúdio e na aprovação, peço que seja enviada cópia da mesma ao Superior Tribunal de Justiça para conhecimento.</w:t>
      </w:r>
    </w:p>
    <w:p w:rsidR="00590D2A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  <w:r w:rsidRPr="001C129B">
        <w:rPr>
          <w:rFonts w:ascii="Times New Roman" w:hAnsi="Times New Roman" w:cs="Times New Roman"/>
          <w:b/>
          <w:szCs w:val="26"/>
        </w:rPr>
        <w:t xml:space="preserve">Sala das Sessões Benvindo Moreira Nery, </w:t>
      </w:r>
      <w:r w:rsidR="005441B9">
        <w:rPr>
          <w:rFonts w:ascii="Times New Roman" w:hAnsi="Times New Roman" w:cs="Times New Roman"/>
          <w:b/>
          <w:szCs w:val="26"/>
        </w:rPr>
        <w:t>10</w:t>
      </w:r>
      <w:r w:rsidRPr="001C129B">
        <w:rPr>
          <w:rFonts w:ascii="Times New Roman" w:hAnsi="Times New Roman" w:cs="Times New Roman"/>
          <w:b/>
          <w:szCs w:val="26"/>
        </w:rPr>
        <w:t xml:space="preserve"> de </w:t>
      </w:r>
      <w:r w:rsidR="005441B9">
        <w:rPr>
          <w:rFonts w:ascii="Times New Roman" w:hAnsi="Times New Roman" w:cs="Times New Roman"/>
          <w:b/>
          <w:szCs w:val="26"/>
        </w:rPr>
        <w:t xml:space="preserve">junho </w:t>
      </w:r>
      <w:r w:rsidRPr="001C129B">
        <w:rPr>
          <w:rFonts w:ascii="Times New Roman" w:hAnsi="Times New Roman" w:cs="Times New Roman"/>
          <w:b/>
          <w:szCs w:val="26"/>
        </w:rPr>
        <w:t>de 20</w:t>
      </w:r>
      <w:r w:rsidRPr="001C129B" w:rsidR="005C721D">
        <w:rPr>
          <w:rFonts w:ascii="Times New Roman" w:hAnsi="Times New Roman" w:cs="Times New Roman"/>
          <w:b/>
          <w:szCs w:val="26"/>
        </w:rPr>
        <w:t>2</w:t>
      </w:r>
      <w:r w:rsidR="005441B9">
        <w:rPr>
          <w:rFonts w:ascii="Times New Roman" w:hAnsi="Times New Roman" w:cs="Times New Roman"/>
          <w:b/>
          <w:szCs w:val="26"/>
        </w:rPr>
        <w:t>2</w:t>
      </w:r>
    </w:p>
    <w:tbl>
      <w:tblPr>
        <w:tblStyle w:val="TableGrid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5"/>
        <w:gridCol w:w="3668"/>
      </w:tblGrid>
      <w:tr w:rsidTr="004E430C">
        <w:tblPrEx>
          <w:tblW w:w="0" w:type="auto"/>
          <w:tblInd w:w="708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530" w:type="dxa"/>
          </w:tcPr>
          <w:p w:rsidR="00590D2A" w:rsidRPr="00590D2A" w:rsidP="00590D2A">
            <w:pPr>
              <w:jc w:val="center"/>
              <w:rPr>
                <w:sz w:val="18"/>
              </w:rPr>
            </w:pPr>
            <w:r w:rsidRPr="00590D2A">
              <w:rPr>
                <w:noProof/>
                <w:sz w:val="10"/>
                <w:lang w:eastAsia="pt-BR"/>
              </w:rPr>
              <w:drawing>
                <wp:inline distT="0" distB="0" distL="0" distR="0">
                  <wp:extent cx="2844355" cy="995239"/>
                  <wp:effectExtent l="0" t="0" r="0" b="0"/>
                  <wp:docPr id="1" name="Imagem 1" descr="F:\Assinaturas Digitais\Erondina Ferreira God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694864" name="Picture 1" descr="F:\Assinaturas Digitais\Erondina Ferreira God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716" cy="100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0D2A" w:rsidRPr="00590D2A" w:rsidP="00590D2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90D2A">
              <w:rPr>
                <w:rFonts w:ascii="Times New Roman" w:hAnsi="Times New Roman" w:cs="Times New Roman"/>
                <w:b/>
                <w:sz w:val="20"/>
              </w:rPr>
              <w:t>Vereadora Tininha – PSD</w:t>
            </w:r>
          </w:p>
          <w:p w:rsidR="00590D2A" w:rsidRPr="00590D2A" w:rsidP="00590D2A">
            <w:pPr>
              <w:spacing w:after="0"/>
              <w:jc w:val="center"/>
              <w:rPr>
                <w:sz w:val="20"/>
              </w:rPr>
            </w:pPr>
            <w:r w:rsidRPr="00590D2A">
              <w:rPr>
                <w:rFonts w:ascii="Times New Roman" w:hAnsi="Times New Roman" w:cs="Times New Roman"/>
                <w:b/>
                <w:sz w:val="20"/>
              </w:rPr>
              <w:t>Primeira Secretária</w:t>
            </w:r>
          </w:p>
          <w:p w:rsidR="00590D2A" w:rsidP="009834ED">
            <w:pPr>
              <w:jc w:val="both"/>
              <w:rPr>
                <w:rFonts w:ascii="Times New Roman" w:hAnsi="Times New Roman" w:cs="Times New Roman"/>
                <w:b/>
                <w:szCs w:val="26"/>
              </w:rPr>
            </w:pPr>
          </w:p>
        </w:tc>
        <w:tc>
          <w:tcPr>
            <w:tcW w:w="4531" w:type="dxa"/>
          </w:tcPr>
          <w:p w:rsidR="00590D2A" w:rsidP="00590D2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590D2A" w:rsidP="00590D2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590D2A" w:rsidP="00590D2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590D2A" w:rsidP="00590D2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590D2A" w:rsidP="00590D2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AC326F">
              <w:rPr>
                <w:noProof/>
                <w:lang w:eastAsia="pt-BR"/>
              </w:rPr>
              <w:drawing>
                <wp:inline distT="0" distB="0" distL="0" distR="0">
                  <wp:extent cx="1543050" cy="664432"/>
                  <wp:effectExtent l="0" t="0" r="0" b="2540"/>
                  <wp:docPr id="2" name="Imagem 2" descr="D:\Users\CMI-User\Downloads\Anderson Cavanha Só Nom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025848" name="Picture 1" descr="D:\Users\CMI-User\Downloads\Anderson Cavanha Só Nom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591" cy="70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0D2A" w:rsidRPr="00590D2A" w:rsidP="00590D2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Vereador</w:t>
            </w:r>
            <w:r w:rsidRPr="00590D2A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</w:rPr>
              <w:t>Bruxão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</w:rPr>
              <w:t>Cavanha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590D2A">
              <w:rPr>
                <w:rFonts w:ascii="Times New Roman" w:hAnsi="Times New Roman" w:cs="Times New Roman"/>
                <w:b/>
                <w:sz w:val="20"/>
              </w:rPr>
              <w:t xml:space="preserve">– </w:t>
            </w:r>
            <w:r w:rsidR="004D4E7D">
              <w:rPr>
                <w:rFonts w:ascii="Times New Roman" w:hAnsi="Times New Roman" w:cs="Times New Roman"/>
                <w:b/>
                <w:sz w:val="20"/>
              </w:rPr>
              <w:t>PL</w:t>
            </w:r>
          </w:p>
          <w:p w:rsidR="00590D2A" w:rsidP="00103EF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6"/>
              </w:rPr>
            </w:pPr>
          </w:p>
        </w:tc>
      </w:tr>
      <w:tr w:rsidTr="004E430C">
        <w:tblPrEx>
          <w:tblW w:w="0" w:type="auto"/>
          <w:tblInd w:w="708" w:type="dxa"/>
          <w:tblLook w:val="04A0"/>
        </w:tblPrEx>
        <w:tc>
          <w:tcPr>
            <w:tcW w:w="4530" w:type="dxa"/>
          </w:tcPr>
          <w:p w:rsidR="00590D2A" w:rsidP="00590D2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590D2A" w:rsidP="00590D2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103EF9" w:rsidP="00590D2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590D2A" w:rsidP="00590D2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Rogerio Moreira dos Santos</w:t>
            </w:r>
          </w:p>
          <w:p w:rsidR="00103EF9" w:rsidRPr="0000488E" w:rsidP="00590D2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Vereador Rogério Fisioterapeuta</w:t>
            </w:r>
          </w:p>
          <w:p w:rsidR="00590D2A" w:rsidP="00590D2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6"/>
              </w:rPr>
            </w:pPr>
          </w:p>
        </w:tc>
        <w:tc>
          <w:tcPr>
            <w:tcW w:w="4531" w:type="dxa"/>
          </w:tcPr>
          <w:p w:rsidR="00590D2A" w:rsidP="009834ED">
            <w:pPr>
              <w:jc w:val="both"/>
              <w:rPr>
                <w:rFonts w:ascii="Times New Roman" w:hAnsi="Times New Roman" w:cs="Times New Roman"/>
                <w:b/>
                <w:szCs w:val="26"/>
              </w:rPr>
            </w:pPr>
            <w:bookmarkStart w:id="0" w:name="_GoBack"/>
            <w:bookmarkEnd w:id="0"/>
          </w:p>
          <w:p w:rsidR="00103EF9" w:rsidP="009834ED">
            <w:pPr>
              <w:jc w:val="both"/>
              <w:rPr>
                <w:rFonts w:ascii="Times New Roman" w:hAnsi="Times New Roman" w:cs="Times New Roman"/>
                <w:b/>
                <w:szCs w:val="26"/>
              </w:rPr>
            </w:pPr>
          </w:p>
          <w:p w:rsidR="00103EF9" w:rsidP="00103EF9">
            <w:pPr>
              <w:spacing w:after="0"/>
              <w:jc w:val="both"/>
              <w:rPr>
                <w:rFonts w:ascii="Times New Roman" w:hAnsi="Times New Roman" w:cs="Times New Roman"/>
                <w:b/>
                <w:szCs w:val="26"/>
              </w:rPr>
            </w:pPr>
            <w:r>
              <w:rPr>
                <w:rFonts w:ascii="Times New Roman" w:hAnsi="Times New Roman" w:cs="Times New Roman"/>
                <w:b/>
                <w:szCs w:val="26"/>
              </w:rPr>
              <w:t xml:space="preserve">            </w:t>
            </w:r>
            <w:r w:rsidRPr="00103EF9">
              <w:rPr>
                <w:rFonts w:ascii="Times New Roman" w:hAnsi="Times New Roman" w:cs="Times New Roman"/>
                <w:b/>
                <w:szCs w:val="26"/>
              </w:rPr>
              <w:t>Thiago da Silva Santos</w:t>
            </w:r>
          </w:p>
          <w:p w:rsidR="00103EF9" w:rsidRPr="0000488E" w:rsidP="00103EF9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Vereador </w:t>
            </w:r>
            <w:r>
              <w:rPr>
                <w:rFonts w:ascii="Times New Roman" w:hAnsi="Times New Roman" w:cs="Times New Roman"/>
                <w:b/>
                <w:szCs w:val="24"/>
              </w:rPr>
              <w:t>Thiaguinho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- UNIÃO</w:t>
            </w:r>
          </w:p>
          <w:p w:rsidR="00103EF9" w:rsidP="009834ED">
            <w:pPr>
              <w:jc w:val="both"/>
              <w:rPr>
                <w:rFonts w:ascii="Times New Roman" w:hAnsi="Times New Roman" w:cs="Times New Roman"/>
                <w:b/>
                <w:szCs w:val="26"/>
              </w:rPr>
            </w:pPr>
          </w:p>
        </w:tc>
      </w:tr>
    </w:tbl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488E"/>
    <w:rsid w:val="00074A8F"/>
    <w:rsid w:val="000E660D"/>
    <w:rsid w:val="00103EF9"/>
    <w:rsid w:val="001207F6"/>
    <w:rsid w:val="00187417"/>
    <w:rsid w:val="001C129B"/>
    <w:rsid w:val="001F07A3"/>
    <w:rsid w:val="002655B7"/>
    <w:rsid w:val="002757F4"/>
    <w:rsid w:val="0028259C"/>
    <w:rsid w:val="002D0AE8"/>
    <w:rsid w:val="002E6D4A"/>
    <w:rsid w:val="002F6191"/>
    <w:rsid w:val="003209C7"/>
    <w:rsid w:val="00323D7E"/>
    <w:rsid w:val="003475A3"/>
    <w:rsid w:val="003A5FC0"/>
    <w:rsid w:val="003C3C39"/>
    <w:rsid w:val="003D4064"/>
    <w:rsid w:val="00426C62"/>
    <w:rsid w:val="00437E26"/>
    <w:rsid w:val="004B11B6"/>
    <w:rsid w:val="004C5AFC"/>
    <w:rsid w:val="004D1C59"/>
    <w:rsid w:val="004D4E7D"/>
    <w:rsid w:val="004E2A59"/>
    <w:rsid w:val="004E430C"/>
    <w:rsid w:val="004E6541"/>
    <w:rsid w:val="005424BC"/>
    <w:rsid w:val="005441B9"/>
    <w:rsid w:val="00574428"/>
    <w:rsid w:val="00590D2A"/>
    <w:rsid w:val="00592027"/>
    <w:rsid w:val="005B4643"/>
    <w:rsid w:val="005C3136"/>
    <w:rsid w:val="005C721D"/>
    <w:rsid w:val="00661CF0"/>
    <w:rsid w:val="006A4B7F"/>
    <w:rsid w:val="006A7D1D"/>
    <w:rsid w:val="006D0F20"/>
    <w:rsid w:val="006F3164"/>
    <w:rsid w:val="0075498B"/>
    <w:rsid w:val="00780D4E"/>
    <w:rsid w:val="007E0470"/>
    <w:rsid w:val="007F0F02"/>
    <w:rsid w:val="00815F95"/>
    <w:rsid w:val="008230A3"/>
    <w:rsid w:val="008267FD"/>
    <w:rsid w:val="00827161"/>
    <w:rsid w:val="00864F5F"/>
    <w:rsid w:val="008933EA"/>
    <w:rsid w:val="00927526"/>
    <w:rsid w:val="0097673D"/>
    <w:rsid w:val="009834ED"/>
    <w:rsid w:val="009A5FB3"/>
    <w:rsid w:val="00A15A03"/>
    <w:rsid w:val="00A7476F"/>
    <w:rsid w:val="00AB0851"/>
    <w:rsid w:val="00AB6ECF"/>
    <w:rsid w:val="00B75797"/>
    <w:rsid w:val="00BB2E04"/>
    <w:rsid w:val="00BC0B06"/>
    <w:rsid w:val="00BD5E2F"/>
    <w:rsid w:val="00C17469"/>
    <w:rsid w:val="00C4711A"/>
    <w:rsid w:val="00CA1E59"/>
    <w:rsid w:val="00CD1705"/>
    <w:rsid w:val="00CD3371"/>
    <w:rsid w:val="00D60FC1"/>
    <w:rsid w:val="00D80D69"/>
    <w:rsid w:val="00DA0E17"/>
    <w:rsid w:val="00E57395"/>
    <w:rsid w:val="00EF1BAC"/>
    <w:rsid w:val="00F17206"/>
    <w:rsid w:val="00F534EC"/>
    <w:rsid w:val="00F72F43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356990-7C98-48EC-9099-3DC353023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443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2022-06-10T13:08:00Z</cp:lastPrinted>
  <dcterms:created xsi:type="dcterms:W3CDTF">2022-06-10T14:21:00Z</dcterms:created>
  <dcterms:modified xsi:type="dcterms:W3CDTF">2022-06-10T15:16:00Z</dcterms:modified>
</cp:coreProperties>
</file>