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530E7" w:rsidRPr="00AE0516" w:rsidP="00B530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72/2022</w:t>
      </w:r>
    </w:p>
    <w:p w:rsidR="00B530E7" w:rsidRPr="00AE0516" w:rsidP="00B530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0E7" w:rsidRPr="00AE0516" w:rsidP="00B530E7">
      <w:pPr>
        <w:spacing w:after="240" w:line="360" w:lineRule="auto"/>
        <w:ind w:left="3402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AE0516">
        <w:rPr>
          <w:rFonts w:ascii="Times New Roman" w:hAnsi="Times New Roman" w:cs="Times New Roman"/>
          <w:i/>
          <w:sz w:val="24"/>
          <w:szCs w:val="24"/>
        </w:rPr>
        <w:t>“Institui o dia 18 de maio como o Dia Municipal de Combate ao Abuso e à Exploração Sexual de Crianças e Adolescentes”.</w:t>
      </w:r>
    </w:p>
    <w:bookmarkEnd w:id="0"/>
    <w:p w:rsidR="00B530E7" w:rsidRPr="00AE0516" w:rsidP="00B530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0E7" w:rsidRPr="00AE0516" w:rsidP="00B530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0E7" w:rsidRPr="00AE0516" w:rsidP="00B530E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0516">
        <w:rPr>
          <w:rFonts w:ascii="Times New Roman" w:hAnsi="Times New Roman" w:cs="Times New Roman"/>
          <w:sz w:val="24"/>
          <w:szCs w:val="24"/>
        </w:rPr>
        <w:t>Art. 1° - Fica instituto o “o dia 18 de maio como o Dia Municipal de Combate ao Abuso e à Exploração Sexual de Crianças e Adolescentes.</w:t>
      </w:r>
    </w:p>
    <w:p w:rsidR="00B530E7" w:rsidRPr="00AE0516" w:rsidP="00B530E7">
      <w:pPr>
        <w:jc w:val="both"/>
        <w:rPr>
          <w:rFonts w:ascii="Times New Roman" w:hAnsi="Times New Roman" w:cs="Times New Roman"/>
          <w:sz w:val="24"/>
          <w:szCs w:val="24"/>
        </w:rPr>
      </w:pPr>
      <w:r w:rsidRPr="00AE0516">
        <w:rPr>
          <w:rFonts w:ascii="Times New Roman" w:hAnsi="Times New Roman" w:cs="Times New Roman"/>
          <w:sz w:val="24"/>
          <w:szCs w:val="24"/>
        </w:rPr>
        <w:br/>
      </w:r>
    </w:p>
    <w:p w:rsidR="00B530E7" w:rsidP="00B530E7">
      <w:pPr>
        <w:ind w:firstLine="708"/>
        <w:jc w:val="both"/>
        <w:rPr>
          <w:color w:val="333333"/>
        </w:rPr>
      </w:pPr>
      <w:r w:rsidRPr="00AE0516">
        <w:rPr>
          <w:rFonts w:ascii="Times New Roman" w:hAnsi="Times New Roman" w:cs="Times New Roman"/>
          <w:sz w:val="24"/>
          <w:szCs w:val="24"/>
        </w:rPr>
        <w:t xml:space="preserve">Art. 2º. </w:t>
      </w:r>
      <w:r>
        <w:rPr>
          <w:color w:val="333333"/>
          <w:shd w:val="clear" w:color="auto" w:fill="FFFFFF"/>
        </w:rPr>
        <w:t> </w:t>
      </w:r>
      <w:r w:rsidRPr="00AE0516">
        <w:rPr>
          <w:rFonts w:ascii="Times New Roman" w:hAnsi="Times New Roman" w:cs="Times New Roman"/>
          <w:sz w:val="24"/>
          <w:shd w:val="clear" w:color="auto" w:fill="FFFFFF"/>
        </w:rPr>
        <w:t>Esta lei será regulamentada pelo Chefe do Executivo Municipal, no que couber.</w:t>
      </w:r>
    </w:p>
    <w:p w:rsidR="00B530E7" w:rsidP="00B530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30E7" w:rsidRPr="00AE0516" w:rsidP="00B530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30E7" w:rsidRPr="00AE0516" w:rsidP="00B530E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0516">
        <w:rPr>
          <w:rFonts w:ascii="Times New Roman" w:hAnsi="Times New Roman" w:cs="Times New Roman"/>
          <w:sz w:val="24"/>
          <w:szCs w:val="24"/>
        </w:rPr>
        <w:t xml:space="preserve">Art.3º. Esta Lei entra em vigor na data de sua publicação, revogadas as disposições em contrário. </w:t>
      </w:r>
    </w:p>
    <w:p w:rsidR="00B530E7" w:rsidP="00B530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30E7" w:rsidP="00B530E7">
      <w:pPr>
        <w:tabs>
          <w:tab w:val="left" w:pos="2640"/>
        </w:tabs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0516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AE0516">
        <w:rPr>
          <w:rFonts w:ascii="Times New Roman" w:hAnsi="Times New Roman" w:cs="Times New Roman"/>
          <w:sz w:val="24"/>
          <w:szCs w:val="24"/>
        </w:rPr>
        <w:t>Bemvindo</w:t>
      </w:r>
      <w:r w:rsidRPr="00AE0516">
        <w:rPr>
          <w:rFonts w:ascii="Times New Roman" w:hAnsi="Times New Roman" w:cs="Times New Roman"/>
          <w:sz w:val="24"/>
          <w:szCs w:val="24"/>
        </w:rPr>
        <w:t xml:space="preserve"> Moreira Nery, 03 de maio de 2022.</w:t>
      </w:r>
    </w:p>
    <w:p w:rsidR="00B530E7" w:rsidRPr="00AE0516" w:rsidP="00B530E7">
      <w:pPr>
        <w:tabs>
          <w:tab w:val="left" w:pos="2640"/>
        </w:tabs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30E7" w:rsidRPr="00C211C8" w:rsidP="00B530E7">
      <w:pPr>
        <w:spacing w:after="120"/>
      </w:pPr>
    </w:p>
    <w:p w:rsidR="00B530E7" w:rsidP="00B530E7">
      <w:pPr>
        <w:spacing w:after="120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609850" cy="1162050"/>
            <wp:effectExtent l="0" t="0" r="0" b="0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0E7" w:rsidRPr="00DD3D51" w:rsidP="00B530E7">
      <w:pPr>
        <w:jc w:val="center"/>
        <w:rPr>
          <w:rFonts w:ascii="Times New Roman" w:hAnsi="Times New Roman" w:cs="Times New Roman"/>
          <w:b/>
          <w:sz w:val="24"/>
        </w:rPr>
      </w:pPr>
      <w:r w:rsidRPr="00DD3D51">
        <w:rPr>
          <w:rFonts w:ascii="Times New Roman" w:hAnsi="Times New Roman" w:cs="Times New Roman"/>
          <w:b/>
          <w:sz w:val="24"/>
        </w:rPr>
        <w:t>JUSTIFICATIVA</w:t>
      </w:r>
    </w:p>
    <w:p w:rsidR="00B530E7" w:rsidP="00B530E7">
      <w:pPr>
        <w:spacing w:after="120"/>
        <w:jc w:val="center"/>
      </w:pPr>
    </w:p>
    <w:p w:rsidR="00B530E7" w:rsidRPr="009B5FF8" w:rsidP="00B530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FF8">
        <w:rPr>
          <w:rFonts w:ascii="Times New Roman" w:hAnsi="Times New Roman" w:cs="Times New Roman"/>
          <w:sz w:val="24"/>
          <w:szCs w:val="24"/>
        </w:rPr>
        <w:t xml:space="preserve">No dia 19 de dezembro de 1998, representantes de 55 instituições públicas e sociais de promoção, defesa e garantia de direitos das crianças e adolescentes, estabelecidos em todo o território brasileiro, segundo os princípios da Convenção Internacional dos Direitos da Criança, Constituição Federal e Estatuto da Criança e do Adolescente, reunidos em Salvador, Bahia, decidiram pela necessidade da instituição de um Dia oficial de Combate ao Abuso Sexual de crianças e adolescentes, a ser comemorado todos os anos, no dia 18 de maio. </w:t>
      </w:r>
    </w:p>
    <w:p w:rsidR="00B530E7" w:rsidRPr="009B5FF8" w:rsidP="00B530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FF8">
        <w:rPr>
          <w:rFonts w:ascii="Times New Roman" w:hAnsi="Times New Roman" w:cs="Times New Roman"/>
          <w:sz w:val="24"/>
          <w:szCs w:val="24"/>
        </w:rPr>
        <w:t xml:space="preserve">Foi escolhida a data de 18 de maio para lembrar o dia em que desapareceu a menina </w:t>
      </w:r>
      <w:r w:rsidRPr="009B5FF8">
        <w:rPr>
          <w:rFonts w:ascii="Times New Roman" w:hAnsi="Times New Roman" w:cs="Times New Roman"/>
          <w:sz w:val="24"/>
          <w:szCs w:val="24"/>
        </w:rPr>
        <w:t>Araceli</w:t>
      </w:r>
      <w:r w:rsidRPr="009B5FF8">
        <w:rPr>
          <w:rFonts w:ascii="Times New Roman" w:hAnsi="Times New Roman" w:cs="Times New Roman"/>
          <w:sz w:val="24"/>
          <w:szCs w:val="24"/>
        </w:rPr>
        <w:t xml:space="preserve"> Cabrera Sanches com oito anos e meio na cidade de Vitória, Espírito Santo, em 1973.</w:t>
      </w:r>
    </w:p>
    <w:p w:rsidR="00B530E7" w:rsidRPr="009B5FF8" w:rsidP="00B530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FF8">
        <w:rPr>
          <w:rFonts w:ascii="Times New Roman" w:hAnsi="Times New Roman" w:cs="Times New Roman"/>
          <w:sz w:val="24"/>
          <w:szCs w:val="24"/>
        </w:rPr>
        <w:t xml:space="preserve">O caso </w:t>
      </w:r>
      <w:r w:rsidRPr="009B5FF8">
        <w:rPr>
          <w:rFonts w:ascii="Times New Roman" w:hAnsi="Times New Roman" w:cs="Times New Roman"/>
          <w:sz w:val="24"/>
          <w:szCs w:val="24"/>
        </w:rPr>
        <w:t>Araceli</w:t>
      </w:r>
      <w:r w:rsidRPr="009B5FF8">
        <w:rPr>
          <w:rFonts w:ascii="Times New Roman" w:hAnsi="Times New Roman" w:cs="Times New Roman"/>
          <w:sz w:val="24"/>
          <w:szCs w:val="24"/>
        </w:rPr>
        <w:t xml:space="preserve">, como ficou conhecido, apresenta, na avaliação dos signatários, todos os elementos de um crime sexual hediondo, constituindo um caso exemplar. </w:t>
      </w:r>
    </w:p>
    <w:p w:rsidR="00B530E7" w:rsidRPr="009B5FF8" w:rsidP="00B530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FF8">
        <w:rPr>
          <w:rFonts w:ascii="Times New Roman" w:hAnsi="Times New Roman" w:cs="Times New Roman"/>
          <w:sz w:val="24"/>
          <w:szCs w:val="24"/>
        </w:rPr>
        <w:t xml:space="preserve">A menina foi sequestrada, aprisionada durante vários dias, espancada, torturada, drogada e estuprada por, pelo menos, três homens. A causa mortis declarada oficialmente foi overdose por ingestão de barbitúricos. É possível que várias outras pessoas tenham participado da orgia de sexo e drogas que matou </w:t>
      </w:r>
      <w:r w:rsidRPr="009B5FF8">
        <w:rPr>
          <w:rFonts w:ascii="Times New Roman" w:hAnsi="Times New Roman" w:cs="Times New Roman"/>
          <w:sz w:val="24"/>
          <w:szCs w:val="24"/>
        </w:rPr>
        <w:t>Araceli</w:t>
      </w:r>
      <w:r w:rsidRPr="009B5F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30E7" w:rsidRPr="009B5FF8" w:rsidP="00B530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FF8">
        <w:rPr>
          <w:rFonts w:ascii="Times New Roman" w:hAnsi="Times New Roman" w:cs="Times New Roman"/>
          <w:sz w:val="24"/>
          <w:szCs w:val="24"/>
        </w:rPr>
        <w:t xml:space="preserve">A apuração do crime envolveu falsos testemunhos, corrupção, fraude, violência e morte. Os indiciados - pedófilos e drogados - eram pessoas influentes e financeiramente poderosas no Estado, tinham envolvimento com o tráfico de drogas, assim como a própria mãe da menina, que era boliviana, usuária e traficante de cocaína. Os acusados não foram punidos e o crime já prescreveu. </w:t>
      </w:r>
    </w:p>
    <w:p w:rsidR="00B530E7" w:rsidRPr="009B5FF8" w:rsidP="00B530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FF8">
        <w:rPr>
          <w:rFonts w:ascii="Times New Roman" w:hAnsi="Times New Roman" w:cs="Times New Roman"/>
          <w:sz w:val="24"/>
          <w:szCs w:val="24"/>
        </w:rPr>
        <w:t xml:space="preserve">O Estado do Espírito Santo apresenta altos índices de violência e infelizmente ainda é mínima a articulação e ações de prevenção e combate a essa violência, pelo menos na área de crianças e adolescentes. Em cerca de 75% dos casos, os agressores são parentes ou pessoas muito próximas e a incidência desse crime tem tomado proporções epidêmicas em todo o mundo. </w:t>
      </w:r>
    </w:p>
    <w:p w:rsidR="00B530E7" w:rsidRPr="009B5FF8" w:rsidP="00B530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FF8">
        <w:rPr>
          <w:rFonts w:ascii="Times New Roman" w:hAnsi="Times New Roman" w:cs="Times New Roman"/>
          <w:sz w:val="24"/>
          <w:szCs w:val="24"/>
        </w:rPr>
        <w:t xml:space="preserve">Com a instituição de um dia oficial de combate à exploração sexual de crianças e adolescentes, atentaremos ainda para a importância do papel da sociedade, atuando na denúncia </w:t>
      </w:r>
      <w:r w:rsidRPr="009B5FF8">
        <w:rPr>
          <w:rFonts w:ascii="Times New Roman" w:hAnsi="Times New Roman" w:cs="Times New Roman"/>
          <w:sz w:val="24"/>
          <w:szCs w:val="24"/>
        </w:rPr>
        <w:t xml:space="preserve">e responsabilização, exigindo o cumprimento da lei e a punição dos abusadores de crianças e dos que as exploram sexual e comercialmente. </w:t>
      </w:r>
    </w:p>
    <w:p w:rsidR="00B530E7" w:rsidP="00B530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FF8">
        <w:rPr>
          <w:rFonts w:ascii="Times New Roman" w:hAnsi="Times New Roman" w:cs="Times New Roman"/>
          <w:sz w:val="24"/>
          <w:szCs w:val="24"/>
        </w:rPr>
        <w:t>A exploração sexual e comercial compreende a utilização do corpo e do sexo de uma criança e/ou adolescente com ou sem o seu consentimento. São considerados exploradores os clientes, os intermediários e os aliciadores do comércio sexual envolvendo crianças e adolescentes, atividade conhecida como "prostituição infanto-juvenil", expressão inadequada já que, como seres em desenvolvimento, crianças e adolescentes não podem fazer uma opção consciente pela prostituição, prática que, no Brasil, quando exercida p</w:t>
      </w:r>
      <w:r>
        <w:rPr>
          <w:rFonts w:ascii="Times New Roman" w:hAnsi="Times New Roman" w:cs="Times New Roman"/>
          <w:sz w:val="24"/>
          <w:szCs w:val="24"/>
        </w:rPr>
        <w:t xml:space="preserve">or adultos, não constitui </w:t>
      </w:r>
      <w:r>
        <w:rPr>
          <w:rFonts w:ascii="Times New Roman" w:hAnsi="Times New Roman" w:cs="Times New Roman"/>
          <w:sz w:val="24"/>
          <w:szCs w:val="24"/>
        </w:rPr>
        <w:t>cnme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30E7" w:rsidP="00B530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FF8">
        <w:rPr>
          <w:rFonts w:ascii="Times New Roman" w:hAnsi="Times New Roman" w:cs="Times New Roman"/>
          <w:sz w:val="24"/>
          <w:szCs w:val="24"/>
        </w:rPr>
        <w:t xml:space="preserve">A criança e </w:t>
      </w:r>
      <w:r w:rsidRPr="009B5FF8">
        <w:rPr>
          <w:rFonts w:ascii="Times New Roman" w:hAnsi="Times New Roman" w:cs="Times New Roman"/>
          <w:sz w:val="24"/>
          <w:szCs w:val="24"/>
        </w:rPr>
        <w:t>o</w:t>
      </w:r>
      <w:r w:rsidRPr="009B5FF8">
        <w:rPr>
          <w:rFonts w:ascii="Times New Roman" w:hAnsi="Times New Roman" w:cs="Times New Roman"/>
          <w:sz w:val="24"/>
          <w:szCs w:val="24"/>
        </w:rPr>
        <w:t xml:space="preserve"> adolescente não fazem uma opção consciente pela prostituição. Ela é seduzida, coagida ou induzida a se prostituir. Aquele que usa sexualmente uma criança ou adolescente, mesmo com o aparente consentimento da vítima, está cometendo estupro. A produção, comercialização e consumo de pornografia infantil também são crimes de exploração sexual, punidos por lei. </w:t>
      </w:r>
    </w:p>
    <w:p w:rsidR="00B530E7" w:rsidRPr="001A47A2" w:rsidP="00B530E7">
      <w:pPr>
        <w:spacing w:before="160" w:line="360" w:lineRule="auto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  <w:r w:rsidRPr="001A47A2">
        <w:rPr>
          <w:rFonts w:ascii="Times New Roman" w:hAnsi="Times New Roman" w:cs="Times New Roman"/>
          <w:sz w:val="24"/>
          <w:szCs w:val="24"/>
        </w:rPr>
        <w:t>Diante do exposto aguardamos um retorno, certos da costumeira compreensão de Vossa Senhoria, aproveitamos o ensejo para renovar votos d</w:t>
      </w:r>
      <w:r>
        <w:rPr>
          <w:rFonts w:ascii="Times New Roman" w:hAnsi="Times New Roman" w:cs="Times New Roman"/>
          <w:sz w:val="24"/>
          <w:szCs w:val="24"/>
        </w:rPr>
        <w:t>e elevada estima e consideração.</w:t>
      </w:r>
    </w:p>
    <w:p w:rsidR="00B530E7" w:rsidRPr="009B5FF8" w:rsidP="00B530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30E7" w:rsidRPr="009B5FF8" w:rsidP="00B530E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466975" cy="1009650"/>
            <wp:effectExtent l="0" t="0" r="9525" b="0"/>
            <wp:docPr id="20" name="Image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52596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37" w:rsidRPr="00B530E7" w:rsidP="00B530E7"/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A47A2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B28E0"/>
    <w:rsid w:val="005C3136"/>
    <w:rsid w:val="005D57EC"/>
    <w:rsid w:val="005E28BF"/>
    <w:rsid w:val="00603620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084D"/>
    <w:rsid w:val="00836D98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5FF8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0516"/>
    <w:rsid w:val="00AE484B"/>
    <w:rsid w:val="00AE59D1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E7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1C8"/>
    <w:rsid w:val="00C21D81"/>
    <w:rsid w:val="00C238DD"/>
    <w:rsid w:val="00C3282C"/>
    <w:rsid w:val="00C41993"/>
    <w:rsid w:val="00C56384"/>
    <w:rsid w:val="00C563BD"/>
    <w:rsid w:val="00C63D5B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B5560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D3D51"/>
    <w:rsid w:val="00DE0B58"/>
    <w:rsid w:val="00DE0E27"/>
    <w:rsid w:val="00DE1A52"/>
    <w:rsid w:val="00DE778B"/>
    <w:rsid w:val="00E01379"/>
    <w:rsid w:val="00E05A2E"/>
    <w:rsid w:val="00E10D38"/>
    <w:rsid w:val="00E300A8"/>
    <w:rsid w:val="00E31B27"/>
    <w:rsid w:val="00E337C1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1AC07-6CCC-408E-B871-B7D4C8168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3</Pages>
  <Words>603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254</cp:revision>
  <cp:lastPrinted>2022-05-03T11:27:00Z</cp:lastPrinted>
  <dcterms:created xsi:type="dcterms:W3CDTF">2021-02-01T15:40:00Z</dcterms:created>
  <dcterms:modified xsi:type="dcterms:W3CDTF">2022-05-03T12:01:00Z</dcterms:modified>
</cp:coreProperties>
</file>