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30E7" w:rsidRPr="00AE0516" w:rsidP="00B530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Projeto de Lei Nº 72/2022</w:t>
      </w:r>
    </w:p>
    <w:p w:rsidR="00B530E7" w:rsidRPr="00AE0516" w:rsidP="00B530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0E7" w:rsidRPr="00AE0516" w:rsidP="00B530E7">
      <w:pPr>
        <w:spacing w:after="240" w:line="360" w:lineRule="auto"/>
        <w:ind w:left="3402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AE0516">
        <w:rPr>
          <w:rFonts w:ascii="Times New Roman" w:hAnsi="Times New Roman" w:cs="Times New Roman"/>
          <w:i/>
          <w:sz w:val="24"/>
          <w:szCs w:val="24"/>
        </w:rPr>
        <w:t>“Institui o dia 18 de maio como o Dia Municipal de Combate ao Abuso e à Exploração Sexual de Crianças e Adolescentes”.</w:t>
      </w:r>
    </w:p>
    <w:bookmarkEnd w:id="0"/>
    <w:p w:rsidR="00B530E7" w:rsidRPr="00AE0516" w:rsidP="00B530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0E7" w:rsidRPr="00AE0516" w:rsidP="00B530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0E7" w:rsidRPr="00AE0516" w:rsidP="00B53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0516">
        <w:rPr>
          <w:rFonts w:ascii="Times New Roman" w:hAnsi="Times New Roman" w:cs="Times New Roman"/>
          <w:sz w:val="24"/>
          <w:szCs w:val="24"/>
        </w:rPr>
        <w:t>Art. 1° - Fica instituto o “o dia 18 de maio como o Dia Municipal de Combate ao Abuso e à Exploração Sexual de Crianças e Adolescentes.</w:t>
      </w:r>
    </w:p>
    <w:p w:rsidR="00B530E7" w:rsidRPr="00AE0516" w:rsidP="00B530E7">
      <w:pPr>
        <w:jc w:val="both"/>
        <w:rPr>
          <w:rFonts w:ascii="Times New Roman" w:hAnsi="Times New Roman" w:cs="Times New Roman"/>
          <w:sz w:val="24"/>
          <w:szCs w:val="24"/>
        </w:rPr>
      </w:pPr>
      <w:r w:rsidRPr="00AE0516">
        <w:rPr>
          <w:rFonts w:ascii="Times New Roman" w:hAnsi="Times New Roman" w:cs="Times New Roman"/>
          <w:sz w:val="24"/>
          <w:szCs w:val="24"/>
        </w:rPr>
        <w:br/>
      </w:r>
    </w:p>
    <w:p w:rsidR="00B530E7" w:rsidP="00B530E7">
      <w:pPr>
        <w:ind w:firstLine="708"/>
        <w:jc w:val="both"/>
        <w:rPr>
          <w:color w:val="333333"/>
        </w:rPr>
      </w:pPr>
      <w:r w:rsidRPr="00AE0516">
        <w:rPr>
          <w:rFonts w:ascii="Times New Roman" w:hAnsi="Times New Roman" w:cs="Times New Roman"/>
          <w:sz w:val="24"/>
          <w:szCs w:val="24"/>
        </w:rPr>
        <w:t xml:space="preserve">Art. 2º. </w:t>
      </w:r>
      <w:r>
        <w:rPr>
          <w:color w:val="333333"/>
          <w:shd w:val="clear" w:color="auto" w:fill="FFFFFF"/>
        </w:rPr>
        <w:t> </w:t>
      </w:r>
      <w:r w:rsidRPr="00AE0516">
        <w:rPr>
          <w:rFonts w:ascii="Times New Roman" w:hAnsi="Times New Roman" w:cs="Times New Roman"/>
          <w:sz w:val="24"/>
          <w:shd w:val="clear" w:color="auto" w:fill="FFFFFF"/>
        </w:rPr>
        <w:t>Esta lei será regulamentada pelo Chefe do Executivo Municipal, no que couber.</w:t>
      </w:r>
    </w:p>
    <w:p w:rsidR="00B530E7" w:rsidP="00B530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30E7" w:rsidRPr="00AE0516" w:rsidP="00B530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30E7" w:rsidRPr="00AE0516" w:rsidP="00B530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0516">
        <w:rPr>
          <w:rFonts w:ascii="Times New Roman" w:hAnsi="Times New Roman" w:cs="Times New Roman"/>
          <w:sz w:val="24"/>
          <w:szCs w:val="24"/>
        </w:rPr>
        <w:t xml:space="preserve">Art.3º. Esta Lei entra em vigor na data de sua publicação, revogadas as disposições em contrário. </w:t>
      </w:r>
    </w:p>
    <w:p w:rsidR="00B530E7" w:rsidP="00B530E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30E7" w:rsidP="00B530E7">
      <w:pPr>
        <w:tabs>
          <w:tab w:val="left" w:pos="2640"/>
        </w:tabs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0516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AE0516">
        <w:rPr>
          <w:rFonts w:ascii="Times New Roman" w:hAnsi="Times New Roman" w:cs="Times New Roman"/>
          <w:sz w:val="24"/>
          <w:szCs w:val="24"/>
        </w:rPr>
        <w:t>Bemvindo</w:t>
      </w:r>
      <w:r w:rsidRPr="00AE0516">
        <w:rPr>
          <w:rFonts w:ascii="Times New Roman" w:hAnsi="Times New Roman" w:cs="Times New Roman"/>
          <w:sz w:val="24"/>
          <w:szCs w:val="24"/>
        </w:rPr>
        <w:t xml:space="preserve"> Moreira Nery, 03 de maio de 2022.</w:t>
      </w:r>
    </w:p>
    <w:p w:rsidR="00B530E7" w:rsidRPr="00AE0516" w:rsidP="00B530E7">
      <w:pPr>
        <w:tabs>
          <w:tab w:val="left" w:pos="2640"/>
        </w:tabs>
        <w:spacing w:before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30E7" w:rsidRPr="00C211C8" w:rsidP="00B530E7">
      <w:pPr>
        <w:spacing w:after="120"/>
      </w:pPr>
    </w:p>
    <w:p w:rsidR="00B530E7" w:rsidP="00B530E7">
      <w:pPr>
        <w:spacing w:after="120"/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2609850" cy="1162050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0E7" w:rsidRPr="00DD3D51" w:rsidP="00B530E7">
      <w:pPr>
        <w:jc w:val="center"/>
        <w:rPr>
          <w:rFonts w:ascii="Times New Roman" w:hAnsi="Times New Roman" w:cs="Times New Roman"/>
          <w:b/>
          <w:sz w:val="24"/>
        </w:rPr>
      </w:pPr>
      <w:r w:rsidRPr="00DD3D51">
        <w:rPr>
          <w:rFonts w:ascii="Times New Roman" w:hAnsi="Times New Roman" w:cs="Times New Roman"/>
          <w:b/>
          <w:sz w:val="24"/>
        </w:rPr>
        <w:t>JUSTIFICATIVA</w:t>
      </w:r>
    </w:p>
    <w:p w:rsidR="00B530E7" w:rsidP="00B530E7">
      <w:pPr>
        <w:spacing w:after="120"/>
        <w:jc w:val="center"/>
      </w:pP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No dia 19 de dezembro de 1998, representantes de 55 instituições públicas e sociais de promoção, defesa e garantia de direitos das crianças e adolescentes, estabelecidos em todo o território brasileiro, segundo os princípios da Convenção Internacional dos Direitos da Criança, Constituição Federal e Estatuto da Criança e do Adolescente, reunidos em Salvador, Bahia, decidiram pela necessidade da instituição de um Dia oficial de Combate ao Abuso Sexual de crianças e adolescentes, a ser comemorado todos os anos, no dia 18 de maio. 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Foi escolhida a data de 18 de maio para lembrar o dia em que desapareceu a menina </w:t>
      </w:r>
      <w:r w:rsidRPr="009B5FF8">
        <w:rPr>
          <w:rFonts w:ascii="Times New Roman" w:hAnsi="Times New Roman" w:cs="Times New Roman"/>
          <w:sz w:val="24"/>
          <w:szCs w:val="24"/>
        </w:rPr>
        <w:t>Araceli</w:t>
      </w:r>
      <w:r w:rsidRPr="009B5FF8">
        <w:rPr>
          <w:rFonts w:ascii="Times New Roman" w:hAnsi="Times New Roman" w:cs="Times New Roman"/>
          <w:sz w:val="24"/>
          <w:szCs w:val="24"/>
        </w:rPr>
        <w:t xml:space="preserve"> Cabrera Sanches com oito anos e meio na cidade de Vitória, Espírito Santo, em 1973.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O caso </w:t>
      </w:r>
      <w:r w:rsidRPr="009B5FF8">
        <w:rPr>
          <w:rFonts w:ascii="Times New Roman" w:hAnsi="Times New Roman" w:cs="Times New Roman"/>
          <w:sz w:val="24"/>
          <w:szCs w:val="24"/>
        </w:rPr>
        <w:t>Araceli</w:t>
      </w:r>
      <w:r w:rsidRPr="009B5FF8">
        <w:rPr>
          <w:rFonts w:ascii="Times New Roman" w:hAnsi="Times New Roman" w:cs="Times New Roman"/>
          <w:sz w:val="24"/>
          <w:szCs w:val="24"/>
        </w:rPr>
        <w:t xml:space="preserve">, como ficou conhecido, apresenta, na avaliação dos signatários, todos os elementos de um crime sexual hediondo, constituindo um caso exemplar. 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A menina foi sequestrada, aprisionada durante vários dias, espancada, torturada, drogada e estuprada por, pelo menos, três homens. A causa mortis declarada oficialmente foi overdose por ingestão de barbitúricos. É possível que várias outras pessoas tenham participado da orgia de sexo e drogas que matou </w:t>
      </w:r>
      <w:r w:rsidRPr="009B5FF8">
        <w:rPr>
          <w:rFonts w:ascii="Times New Roman" w:hAnsi="Times New Roman" w:cs="Times New Roman"/>
          <w:sz w:val="24"/>
          <w:szCs w:val="24"/>
        </w:rPr>
        <w:t>Araceli</w:t>
      </w:r>
      <w:r w:rsidRPr="009B5F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A apuração do crime envolveu falsos testemunhos, corrupção, fraude, violência e morte. Os indiciados - pedófilos e drogados - eram pessoas influentes e financeiramente poderosas no Estado, tinham envolvimento com o tráfico de drogas, assim como a própria mãe da menina, que era boliviana, usuária e traficante de cocaína. Os acusados não foram punidos e o crime já prescreveu. 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O Estado do Espírito Santo apresenta altos índices de violência e infelizmente ainda é mínima a articulação e ações de prevenção e combate a essa violência, pelo menos na área de crianças e adolescentes. Em cerca de 75% dos casos, os agressores são parentes ou pessoas muito próximas e a incidência desse crime tem tomado proporções epidêmicas em todo o mundo. 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Com a instituição de um dia oficial de combate à exploração sexual de crianças e adolescentes, atentaremos ainda para a importância do papel da sociedade, atuando na denúncia </w:t>
      </w:r>
      <w:r w:rsidRPr="009B5FF8">
        <w:rPr>
          <w:rFonts w:ascii="Times New Roman" w:hAnsi="Times New Roman" w:cs="Times New Roman"/>
          <w:sz w:val="24"/>
          <w:szCs w:val="24"/>
        </w:rPr>
        <w:t xml:space="preserve">e responsabilização, exigindo o cumprimento da lei e a punição dos abusadores de crianças e dos que as exploram sexual e comercialmente. </w:t>
      </w:r>
    </w:p>
    <w:p w:rsidR="00B530E7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>A exploração sexual e comercial compreende a utilização do corpo e do sexo de uma criança e/ou adolescente com ou sem o seu consentimento. São considerados exploradores os clientes, os intermediários e os aliciadores do comércio sexual envolvendo crianças e adolescentes, atividade conhecida como "prostituição infanto-juvenil", expressão inadequada já que, como seres em desenvolvimento, crianças e adolescentes não podem fazer uma opção consciente pela prostituição, prática que, no Brasil, quando exercida p</w:t>
      </w:r>
      <w:r>
        <w:rPr>
          <w:rFonts w:ascii="Times New Roman" w:hAnsi="Times New Roman" w:cs="Times New Roman"/>
          <w:sz w:val="24"/>
          <w:szCs w:val="24"/>
        </w:rPr>
        <w:t xml:space="preserve">or adultos, não constitui </w:t>
      </w:r>
      <w:r>
        <w:rPr>
          <w:rFonts w:ascii="Times New Roman" w:hAnsi="Times New Roman" w:cs="Times New Roman"/>
          <w:sz w:val="24"/>
          <w:szCs w:val="24"/>
        </w:rPr>
        <w:t>cnme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530E7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FF8">
        <w:rPr>
          <w:rFonts w:ascii="Times New Roman" w:hAnsi="Times New Roman" w:cs="Times New Roman"/>
          <w:sz w:val="24"/>
          <w:szCs w:val="24"/>
        </w:rPr>
        <w:t xml:space="preserve">A criança e </w:t>
      </w:r>
      <w:r w:rsidRPr="009B5FF8">
        <w:rPr>
          <w:rFonts w:ascii="Times New Roman" w:hAnsi="Times New Roman" w:cs="Times New Roman"/>
          <w:sz w:val="24"/>
          <w:szCs w:val="24"/>
        </w:rPr>
        <w:t>o</w:t>
      </w:r>
      <w:r w:rsidRPr="009B5FF8">
        <w:rPr>
          <w:rFonts w:ascii="Times New Roman" w:hAnsi="Times New Roman" w:cs="Times New Roman"/>
          <w:sz w:val="24"/>
          <w:szCs w:val="24"/>
        </w:rPr>
        <w:t xml:space="preserve"> adolescente não fazem uma opção consciente pela prostituição. Ela é seduzida, coagida ou induzida a se prostituir. Aquele que usa sexualmente uma criança ou adolescente, mesmo com o aparente consentimento da vítima, está cometendo estupro. A produção, comercialização e consumo de pornografia infantil também são crimes de exploração sexual, punidos por lei. </w:t>
      </w:r>
    </w:p>
    <w:p w:rsidR="00B530E7" w:rsidRPr="001A47A2" w:rsidP="00B530E7">
      <w:pPr>
        <w:spacing w:before="160" w:line="360" w:lineRule="auto"/>
        <w:ind w:left="100" w:right="108" w:firstLine="620"/>
        <w:jc w:val="both"/>
        <w:rPr>
          <w:rFonts w:ascii="Times New Roman" w:hAnsi="Times New Roman" w:cs="Times New Roman"/>
          <w:sz w:val="24"/>
          <w:szCs w:val="24"/>
        </w:rPr>
      </w:pPr>
      <w:r w:rsidRPr="001A47A2">
        <w:rPr>
          <w:rFonts w:ascii="Times New Roman" w:hAnsi="Times New Roman" w:cs="Times New Roman"/>
          <w:sz w:val="24"/>
          <w:szCs w:val="24"/>
        </w:rPr>
        <w:t>Diante do exposto aguardamos um retorno, certos da costumeira compreensão de Vossa Senhoria, aproveitamos o ensejo para renovar votos d</w:t>
      </w:r>
      <w:r>
        <w:rPr>
          <w:rFonts w:ascii="Times New Roman" w:hAnsi="Times New Roman" w:cs="Times New Roman"/>
          <w:sz w:val="24"/>
          <w:szCs w:val="24"/>
        </w:rPr>
        <w:t>e elevada estima e consideração.</w:t>
      </w:r>
    </w:p>
    <w:p w:rsidR="00B530E7" w:rsidRPr="009B5FF8" w:rsidP="00B530E7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530E7" w:rsidRPr="009B5FF8" w:rsidP="00B530E7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2466975" cy="1009650"/>
            <wp:effectExtent l="0" t="0" r="9525" b="0"/>
            <wp:docPr id="20" name="Image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052596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37" w:rsidRPr="00B530E7" w:rsidP="00B530E7"/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A47A2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5FF8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0516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1C8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D3D51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1AC07-6CCC-408E-B871-B7D4C8168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3</Pages>
  <Words>603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254</cp:revision>
  <cp:lastPrinted>2022-05-03T11:27:00Z</cp:lastPrinted>
  <dcterms:created xsi:type="dcterms:W3CDTF">2021-02-01T15:40:00Z</dcterms:created>
  <dcterms:modified xsi:type="dcterms:W3CDTF">2022-05-03T12:01:00Z</dcterms:modified>
</cp:coreProperties>
</file>