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4E42" w:rsidP="00971FB5">
      <w:pPr>
        <w:jc w:val="center"/>
        <w:rPr>
          <w:rFonts w:ascii="Arial" w:hAnsi="Arial" w:cs="Arial"/>
          <w:b/>
          <w:sz w:val="24"/>
          <w:szCs w:val="24"/>
        </w:rPr>
      </w:pPr>
    </w:p>
    <w:p w:rsidR="00971FB5" w:rsidRPr="00632E91" w:rsidP="00971F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28/2022</w:t>
      </w:r>
    </w:p>
    <w:p w:rsidR="00971FB5" w:rsidRPr="00C22B40" w:rsidP="00971FB5">
      <w:pPr>
        <w:jc w:val="both"/>
        <w:rPr>
          <w:rFonts w:ascii="Arial" w:hAnsi="Arial" w:cs="Arial"/>
          <w:sz w:val="24"/>
          <w:szCs w:val="24"/>
        </w:rPr>
      </w:pPr>
    </w:p>
    <w:p w:rsidR="00971FB5" w:rsidRPr="00543DB2" w:rsidP="00DA4E42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543DB2">
        <w:rPr>
          <w:rFonts w:ascii="Arial" w:hAnsi="Arial" w:cs="Arial"/>
          <w:sz w:val="24"/>
          <w:szCs w:val="24"/>
        </w:rPr>
        <w:t xml:space="preserve">Dispõe sobre a outorga de Título de Cidadão </w:t>
      </w:r>
      <w:r w:rsidRPr="00543DB2">
        <w:rPr>
          <w:rFonts w:ascii="Arial" w:hAnsi="Arial" w:cs="Arial"/>
          <w:sz w:val="24"/>
          <w:szCs w:val="24"/>
        </w:rPr>
        <w:t>Itapeviense</w:t>
      </w:r>
      <w:r w:rsidRPr="00543DB2">
        <w:rPr>
          <w:rFonts w:ascii="Arial" w:hAnsi="Arial" w:cs="Arial"/>
          <w:sz w:val="24"/>
          <w:szCs w:val="24"/>
        </w:rPr>
        <w:t xml:space="preserve"> ao Sr. </w:t>
      </w:r>
      <w:r w:rsidRPr="00B413BF" w:rsidR="00545840">
        <w:rPr>
          <w:rFonts w:ascii="Arial" w:hAnsi="Arial" w:cs="Arial"/>
          <w:sz w:val="24"/>
          <w:szCs w:val="24"/>
        </w:rPr>
        <w:t>André Luiz de Almeida Mendonça</w:t>
      </w:r>
      <w:r w:rsidRPr="00543DB2">
        <w:rPr>
          <w:rFonts w:ascii="Arial" w:hAnsi="Arial" w:cs="Arial"/>
          <w:sz w:val="24"/>
          <w:szCs w:val="24"/>
        </w:rPr>
        <w:t>, e dá outras providências.</w:t>
      </w:r>
    </w:p>
    <w:bookmarkEnd w:id="0"/>
    <w:p w:rsidR="00971FB5" w:rsidRPr="00543DB2" w:rsidP="00DA4E42">
      <w:pPr>
        <w:jc w:val="both"/>
        <w:rPr>
          <w:rFonts w:ascii="Arial" w:hAnsi="Arial" w:cs="Arial"/>
          <w:sz w:val="24"/>
          <w:szCs w:val="24"/>
        </w:rPr>
      </w:pPr>
    </w:p>
    <w:p w:rsidR="00971FB5" w:rsidRPr="00543DB2" w:rsidP="00DA4E42">
      <w:pPr>
        <w:jc w:val="both"/>
        <w:rPr>
          <w:rFonts w:ascii="Arial" w:hAnsi="Arial" w:cs="Arial"/>
          <w:sz w:val="24"/>
          <w:szCs w:val="24"/>
        </w:rPr>
      </w:pPr>
      <w:r w:rsidRPr="00543DB2"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545840" w:rsidP="00DA4E42">
      <w:pPr>
        <w:jc w:val="both"/>
        <w:rPr>
          <w:rFonts w:ascii="Arial" w:hAnsi="Arial" w:cs="Arial"/>
          <w:sz w:val="24"/>
          <w:szCs w:val="24"/>
        </w:rPr>
      </w:pPr>
      <w:r w:rsidRPr="00543DB2">
        <w:rPr>
          <w:rFonts w:ascii="Arial" w:hAnsi="Arial" w:cs="Arial"/>
          <w:sz w:val="24"/>
          <w:szCs w:val="24"/>
        </w:rPr>
        <w:t>Art. 1º. Fica concedido o Títul</w:t>
      </w:r>
      <w:r w:rsidR="00D63597">
        <w:rPr>
          <w:rFonts w:ascii="Arial" w:hAnsi="Arial" w:cs="Arial"/>
          <w:sz w:val="24"/>
          <w:szCs w:val="24"/>
        </w:rPr>
        <w:t xml:space="preserve">o de Cidadão </w:t>
      </w:r>
      <w:r w:rsidR="00D63597">
        <w:rPr>
          <w:rFonts w:ascii="Arial" w:hAnsi="Arial" w:cs="Arial"/>
          <w:sz w:val="24"/>
          <w:szCs w:val="24"/>
        </w:rPr>
        <w:t>Itapeviense</w:t>
      </w:r>
      <w:r w:rsidR="00D63597">
        <w:rPr>
          <w:rFonts w:ascii="Arial" w:hAnsi="Arial" w:cs="Arial"/>
          <w:sz w:val="24"/>
          <w:szCs w:val="24"/>
        </w:rPr>
        <w:t xml:space="preserve"> ao Sr. </w:t>
      </w:r>
      <w:r w:rsidRPr="00B413BF">
        <w:rPr>
          <w:rFonts w:ascii="Arial" w:hAnsi="Arial" w:cs="Arial"/>
          <w:sz w:val="24"/>
          <w:szCs w:val="24"/>
        </w:rPr>
        <w:t>André Luiz de Almeida Mendonça</w:t>
      </w:r>
      <w:r>
        <w:rPr>
          <w:rFonts w:ascii="Arial" w:hAnsi="Arial" w:cs="Arial"/>
          <w:sz w:val="24"/>
          <w:szCs w:val="24"/>
        </w:rPr>
        <w:t>.</w:t>
      </w:r>
    </w:p>
    <w:p w:rsidR="00971FB5" w:rsidRPr="00543DB2" w:rsidP="00DA4E42">
      <w:pPr>
        <w:jc w:val="both"/>
        <w:rPr>
          <w:rFonts w:ascii="Arial" w:hAnsi="Arial" w:cs="Arial"/>
          <w:sz w:val="24"/>
          <w:szCs w:val="24"/>
        </w:rPr>
      </w:pPr>
      <w:r w:rsidRPr="00543DB2">
        <w:rPr>
          <w:rFonts w:ascii="Arial" w:hAnsi="Arial" w:cs="Arial"/>
          <w:sz w:val="24"/>
          <w:szCs w:val="24"/>
        </w:rPr>
        <w:t>Art. 2º. A honraria será conferida em Sessão Solene, a ser convocada pelo Presidente da Câmara Municipal de Itapevi, especialmente para esse fim.</w:t>
      </w:r>
    </w:p>
    <w:p w:rsidR="00971FB5" w:rsidRPr="00543DB2" w:rsidP="00DA4E42">
      <w:pPr>
        <w:jc w:val="both"/>
        <w:rPr>
          <w:rFonts w:ascii="Arial" w:hAnsi="Arial" w:cs="Arial"/>
          <w:sz w:val="24"/>
          <w:szCs w:val="24"/>
        </w:rPr>
      </w:pPr>
      <w:r w:rsidRPr="00543DB2">
        <w:rPr>
          <w:rFonts w:ascii="Arial" w:hAnsi="Arial" w:cs="Arial"/>
          <w:sz w:val="24"/>
          <w:szCs w:val="24"/>
        </w:rPr>
        <w:t>Art. 3º. As despesas decorrentes da execução deste Decreto Legislativo correrão por conta das dotações orçamentárias próprias, suplementadas se necessário.</w:t>
      </w:r>
    </w:p>
    <w:p w:rsidR="00971FB5" w:rsidRPr="00543DB2" w:rsidP="00DA4E42">
      <w:pPr>
        <w:jc w:val="both"/>
        <w:rPr>
          <w:rFonts w:ascii="Arial" w:hAnsi="Arial" w:cs="Arial"/>
          <w:sz w:val="24"/>
          <w:szCs w:val="24"/>
        </w:rPr>
      </w:pPr>
      <w:r w:rsidRPr="00543DB2">
        <w:rPr>
          <w:rFonts w:ascii="Arial" w:hAnsi="Arial" w:cs="Arial"/>
          <w:sz w:val="24"/>
          <w:szCs w:val="24"/>
        </w:rPr>
        <w:t>Art. 4 º. Este Decreto Legislativo entra em vigor na data de sua publicação, revogadas as disposições em contrário.</w:t>
      </w:r>
    </w:p>
    <w:p w:rsidR="00971FB5" w:rsidRPr="00543DB2" w:rsidP="00DA4E42">
      <w:pPr>
        <w:jc w:val="both"/>
        <w:rPr>
          <w:rFonts w:ascii="Arial" w:hAnsi="Arial" w:cs="Arial"/>
          <w:sz w:val="24"/>
          <w:szCs w:val="24"/>
        </w:rPr>
      </w:pPr>
    </w:p>
    <w:p w:rsidR="00971FB5" w:rsidRPr="00543DB2" w:rsidP="00392BA3">
      <w:pPr>
        <w:rPr>
          <w:rFonts w:ascii="Arial" w:hAnsi="Arial" w:cs="Arial"/>
          <w:sz w:val="24"/>
          <w:szCs w:val="24"/>
        </w:rPr>
      </w:pPr>
    </w:p>
    <w:p w:rsidR="00516DF7" w:rsidP="00392BA3">
      <w:pPr>
        <w:jc w:val="center"/>
        <w:rPr>
          <w:rFonts w:ascii="Arial" w:hAnsi="Arial" w:cs="Arial"/>
          <w:sz w:val="24"/>
          <w:szCs w:val="24"/>
        </w:rPr>
      </w:pPr>
      <w:r w:rsidRPr="00543DB2">
        <w:rPr>
          <w:rFonts w:ascii="Arial" w:hAnsi="Arial" w:cs="Arial"/>
          <w:sz w:val="24"/>
          <w:szCs w:val="24"/>
        </w:rPr>
        <w:t>Sala das Se</w:t>
      </w:r>
      <w:r w:rsidR="00D63597">
        <w:rPr>
          <w:rFonts w:ascii="Arial" w:hAnsi="Arial" w:cs="Arial"/>
          <w:sz w:val="24"/>
          <w:szCs w:val="24"/>
        </w:rPr>
        <w:t xml:space="preserve">ssões, </w:t>
      </w:r>
      <w:r w:rsidR="00D63597">
        <w:rPr>
          <w:rFonts w:ascii="Arial" w:hAnsi="Arial" w:cs="Arial"/>
          <w:sz w:val="24"/>
          <w:szCs w:val="24"/>
        </w:rPr>
        <w:t>Bemvindo</w:t>
      </w:r>
      <w:r w:rsidR="00D63597">
        <w:rPr>
          <w:rFonts w:ascii="Arial" w:hAnsi="Arial" w:cs="Arial"/>
          <w:sz w:val="24"/>
          <w:szCs w:val="24"/>
        </w:rPr>
        <w:t xml:space="preserve"> Moreira Nery, 1</w:t>
      </w:r>
      <w:r w:rsidR="00DA4E42">
        <w:rPr>
          <w:rFonts w:ascii="Arial" w:hAnsi="Arial" w:cs="Arial"/>
          <w:sz w:val="24"/>
          <w:szCs w:val="24"/>
        </w:rPr>
        <w:t>8</w:t>
      </w:r>
      <w:r w:rsidRPr="00543DB2">
        <w:rPr>
          <w:rFonts w:ascii="Arial" w:hAnsi="Arial" w:cs="Arial"/>
          <w:sz w:val="24"/>
          <w:szCs w:val="24"/>
        </w:rPr>
        <w:t xml:space="preserve"> de </w:t>
      </w:r>
      <w:r w:rsidR="00D63597">
        <w:rPr>
          <w:rFonts w:ascii="Arial" w:hAnsi="Arial" w:cs="Arial"/>
          <w:sz w:val="24"/>
          <w:szCs w:val="24"/>
        </w:rPr>
        <w:t>março de 2022</w:t>
      </w:r>
      <w:r w:rsidRPr="00543DB2">
        <w:rPr>
          <w:rFonts w:ascii="Arial" w:hAnsi="Arial" w:cs="Arial"/>
          <w:sz w:val="24"/>
          <w:szCs w:val="24"/>
        </w:rPr>
        <w:t>.</w:t>
      </w:r>
    </w:p>
    <w:p w:rsidR="00DA4E42" w:rsidRPr="00543DB2" w:rsidP="00392BA3">
      <w:pPr>
        <w:jc w:val="center"/>
        <w:rPr>
          <w:rFonts w:ascii="Arial" w:hAnsi="Arial" w:cs="Arial"/>
          <w:sz w:val="24"/>
          <w:szCs w:val="24"/>
        </w:rPr>
      </w:pPr>
    </w:p>
    <w:p w:rsidR="00516DF7" w:rsidRPr="00543DB2" w:rsidP="00392BA3">
      <w:pPr>
        <w:jc w:val="center"/>
        <w:rPr>
          <w:rFonts w:ascii="Arial" w:hAnsi="Arial" w:cs="Arial"/>
          <w:b/>
          <w:sz w:val="24"/>
          <w:szCs w:val="24"/>
        </w:rPr>
      </w:pPr>
    </w:p>
    <w:p w:rsidR="00516DF7" w:rsidP="00D63597">
      <w:pPr>
        <w:tabs>
          <w:tab w:val="left" w:pos="535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343275" cy="1333500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5961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ab/>
      </w:r>
    </w:p>
    <w:p w:rsidR="00516DF7" w:rsidP="00392BA3">
      <w:pPr>
        <w:jc w:val="center"/>
        <w:rPr>
          <w:rFonts w:ascii="Arial" w:hAnsi="Arial" w:cs="Arial"/>
          <w:b/>
        </w:rPr>
      </w:pPr>
      <w:r w:rsidRPr="00392BA3">
        <w:rPr>
          <w:rFonts w:ascii="Arial" w:hAnsi="Arial" w:cs="Arial"/>
          <w:b/>
        </w:rPr>
        <w:t>Doutor Lucas Gabriel Correia Silva</w:t>
      </w:r>
      <w:r w:rsidR="00D63597">
        <w:rPr>
          <w:rFonts w:ascii="Arial" w:hAnsi="Arial" w:cs="Arial"/>
          <w:b/>
        </w:rPr>
        <w:t xml:space="preserve"> Martins</w:t>
      </w:r>
    </w:p>
    <w:p w:rsidR="005C3765" w:rsidRPr="00290C58" w:rsidP="005C376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04045">
        <w:rPr>
          <w:rFonts w:ascii="Arial" w:hAnsi="Arial" w:cs="Arial"/>
          <w:b/>
          <w:sz w:val="24"/>
          <w:szCs w:val="24"/>
        </w:rPr>
        <w:t xml:space="preserve">Vereador </w:t>
      </w:r>
      <w:r>
        <w:rPr>
          <w:rFonts w:ascii="Arial" w:hAnsi="Arial" w:cs="Arial"/>
          <w:b/>
          <w:sz w:val="24"/>
          <w:szCs w:val="24"/>
        </w:rPr>
        <w:t>–</w:t>
      </w:r>
      <w:r w:rsidRPr="00804045">
        <w:rPr>
          <w:rFonts w:ascii="Arial" w:hAnsi="Arial" w:cs="Arial"/>
          <w:b/>
          <w:sz w:val="24"/>
          <w:szCs w:val="24"/>
        </w:rPr>
        <w:t>DEM</w:t>
      </w:r>
    </w:p>
    <w:p w:rsidR="005C3765" w:rsidRPr="00392BA3" w:rsidP="00392BA3">
      <w:pPr>
        <w:jc w:val="center"/>
        <w:rPr>
          <w:rFonts w:ascii="Arial" w:hAnsi="Arial" w:cs="Arial"/>
          <w:b/>
        </w:rPr>
      </w:pPr>
    </w:p>
    <w:p w:rsidR="00516DF7" w:rsidP="00392BA3">
      <w:pPr>
        <w:jc w:val="center"/>
        <w:rPr>
          <w:rFonts w:ascii="Arial" w:hAnsi="Arial" w:cs="Arial"/>
          <w:sz w:val="24"/>
          <w:szCs w:val="24"/>
        </w:rPr>
      </w:pPr>
    </w:p>
    <w:p w:rsidR="00392BA3" w:rsidP="00D63597">
      <w:pPr>
        <w:rPr>
          <w:rFonts w:ascii="Arial" w:hAnsi="Arial" w:cs="Arial"/>
          <w:sz w:val="24"/>
          <w:szCs w:val="24"/>
        </w:rPr>
      </w:pPr>
    </w:p>
    <w:p w:rsidR="00971FB5" w:rsidP="00545840">
      <w:pPr>
        <w:jc w:val="center"/>
        <w:rPr>
          <w:rFonts w:ascii="Arial" w:hAnsi="Arial" w:cs="Arial"/>
          <w:b/>
          <w:sz w:val="24"/>
          <w:szCs w:val="24"/>
        </w:rPr>
      </w:pPr>
      <w:r w:rsidRPr="00543DB2">
        <w:rPr>
          <w:rFonts w:ascii="Arial" w:hAnsi="Arial" w:cs="Arial"/>
          <w:b/>
          <w:sz w:val="24"/>
          <w:szCs w:val="24"/>
        </w:rPr>
        <w:t>JUSTIFICATIVA</w:t>
      </w:r>
    </w:p>
    <w:p w:rsidR="005C3765" w:rsidP="00516DF7">
      <w:pPr>
        <w:jc w:val="center"/>
        <w:rPr>
          <w:rFonts w:ascii="Arial" w:hAnsi="Arial" w:cs="Arial"/>
          <w:b/>
          <w:sz w:val="24"/>
          <w:szCs w:val="24"/>
        </w:rPr>
      </w:pPr>
    </w:p>
    <w:p w:rsidR="00B413BF" w:rsidRPr="00B413BF" w:rsidP="00B413BF">
      <w:pPr>
        <w:jc w:val="both"/>
        <w:rPr>
          <w:rFonts w:ascii="Arial" w:hAnsi="Arial" w:cs="Arial"/>
          <w:b/>
          <w:sz w:val="24"/>
          <w:szCs w:val="24"/>
        </w:rPr>
      </w:pPr>
      <w:r w:rsidRPr="00B413BF">
        <w:rPr>
          <w:rFonts w:ascii="Arial" w:hAnsi="Arial" w:cs="Arial"/>
          <w:sz w:val="24"/>
          <w:szCs w:val="24"/>
        </w:rPr>
        <w:t>Nascido em Santos (SP), no dia 27 de dezembro de 1972, André Luiz de Almeida Mendonça é casado e tem dois filhos. É formado pela Faculdade de Direito de Bauru (SP) e tem os títulos de doutor em Estado de Direito e Governança Global e de mestre em Estratégias Anticorrupção e Políticas de Integridade pela Universidade de Salamanca, na Espanha</w:t>
      </w:r>
      <w:r w:rsidRPr="00B413BF">
        <w:rPr>
          <w:rFonts w:ascii="Arial" w:hAnsi="Arial" w:cs="Arial"/>
          <w:b/>
          <w:sz w:val="24"/>
          <w:szCs w:val="24"/>
        </w:rPr>
        <w:t>.</w:t>
      </w:r>
    </w:p>
    <w:p w:rsidR="005C3765" w:rsidRPr="005C3765" w:rsidP="00B413BF">
      <w:pPr>
        <w:jc w:val="both"/>
        <w:rPr>
          <w:rFonts w:ascii="Arial" w:hAnsi="Arial" w:cs="Arial"/>
          <w:spacing w:val="3"/>
          <w:sz w:val="24"/>
          <w:szCs w:val="24"/>
          <w:shd w:val="clear" w:color="auto" w:fill="FAFAFA"/>
        </w:rPr>
      </w:pPr>
      <w:r w:rsidRPr="005C3765">
        <w:rPr>
          <w:rFonts w:ascii="Arial" w:hAnsi="Arial" w:cs="Arial"/>
          <w:sz w:val="24"/>
          <w:szCs w:val="24"/>
          <w:shd w:val="clear" w:color="auto" w:fill="FDFDFD"/>
        </w:rPr>
        <w:t>Como servidor do órgão se notabilizou por sua atuação para aperfeiçoar mecanismos anticorrupção</w:t>
      </w:r>
      <w:r w:rsidRPr="005C3765" w:rsidR="00D63597">
        <w:rPr>
          <w:rFonts w:ascii="Arial" w:hAnsi="Arial" w:cs="Arial"/>
          <w:spacing w:val="3"/>
          <w:sz w:val="24"/>
          <w:szCs w:val="24"/>
          <w:shd w:val="clear" w:color="auto" w:fill="FAFAFA"/>
        </w:rPr>
        <w:t xml:space="preserve">. Na instituição, exerceu os cargos de corregedor-geral e de diretor de Patrimônio e Probidade, dentre outros. Ao longo da carreira, Mendonça trabalhou com o ministro Dias </w:t>
      </w:r>
      <w:r w:rsidRPr="005C3765" w:rsidR="00D63597">
        <w:rPr>
          <w:rFonts w:ascii="Arial" w:hAnsi="Arial" w:cs="Arial"/>
          <w:spacing w:val="3"/>
          <w:sz w:val="24"/>
          <w:szCs w:val="24"/>
          <w:shd w:val="clear" w:color="auto" w:fill="FAFAFA"/>
        </w:rPr>
        <w:t>Toffoli</w:t>
      </w:r>
      <w:r w:rsidRPr="005C3765" w:rsidR="00D63597">
        <w:rPr>
          <w:rFonts w:ascii="Arial" w:hAnsi="Arial" w:cs="Arial"/>
          <w:spacing w:val="3"/>
          <w:sz w:val="24"/>
          <w:szCs w:val="24"/>
          <w:shd w:val="clear" w:color="auto" w:fill="FAFAFA"/>
        </w:rPr>
        <w:t xml:space="preserve"> quando este chefiou a AGU, entre março de 2007 e outubro de 2009. Ele foi designado o 1º diretor do Departamento de Combate à Corrupção e Defesa do Patrimônio Público na gestão de </w:t>
      </w:r>
      <w:r w:rsidRPr="005C3765" w:rsidR="00D63597">
        <w:rPr>
          <w:rFonts w:ascii="Arial" w:hAnsi="Arial" w:cs="Arial"/>
          <w:spacing w:val="3"/>
          <w:sz w:val="24"/>
          <w:szCs w:val="24"/>
          <w:shd w:val="clear" w:color="auto" w:fill="FAFAFA"/>
        </w:rPr>
        <w:t>Toffoli</w:t>
      </w:r>
      <w:r w:rsidRPr="005C3765" w:rsidR="00D63597">
        <w:rPr>
          <w:rFonts w:ascii="Arial" w:hAnsi="Arial" w:cs="Arial"/>
          <w:spacing w:val="3"/>
          <w:sz w:val="24"/>
          <w:szCs w:val="24"/>
          <w:shd w:val="clear" w:color="auto" w:fill="FAFAFA"/>
        </w:rPr>
        <w:t xml:space="preserve">. </w:t>
      </w:r>
    </w:p>
    <w:p w:rsidR="005C3765" w:rsidP="005C3765">
      <w:pPr>
        <w:jc w:val="both"/>
        <w:rPr>
          <w:rFonts w:ascii="Arial" w:hAnsi="Arial" w:cs="Arial"/>
          <w:spacing w:val="3"/>
          <w:sz w:val="24"/>
          <w:szCs w:val="24"/>
          <w:shd w:val="clear" w:color="auto" w:fill="FAFAFA"/>
        </w:rPr>
      </w:pPr>
      <w:r w:rsidRPr="005C3765">
        <w:rPr>
          <w:rFonts w:ascii="Arial" w:hAnsi="Arial" w:cs="Arial"/>
          <w:spacing w:val="3"/>
          <w:sz w:val="24"/>
          <w:szCs w:val="24"/>
          <w:shd w:val="clear" w:color="auto" w:fill="FAFAFA"/>
        </w:rPr>
        <w:t>Mendonça é bacharel em teologia pela Faculdade Teológica Sul Americana, de Londrina (PR) e pastor da Igreja Pres</w:t>
      </w:r>
      <w:r>
        <w:rPr>
          <w:rFonts w:ascii="Arial" w:hAnsi="Arial" w:cs="Arial"/>
          <w:spacing w:val="3"/>
          <w:sz w:val="24"/>
          <w:szCs w:val="24"/>
          <w:shd w:val="clear" w:color="auto" w:fill="FAFAFA"/>
        </w:rPr>
        <w:t xml:space="preserve">biteriana Esperança, em </w:t>
      </w:r>
      <w:r>
        <w:rPr>
          <w:rFonts w:ascii="Arial" w:hAnsi="Arial" w:cs="Arial"/>
          <w:spacing w:val="3"/>
          <w:sz w:val="24"/>
          <w:szCs w:val="24"/>
          <w:shd w:val="clear" w:color="auto" w:fill="FAFAFA"/>
        </w:rPr>
        <w:t>Brasíli</w:t>
      </w:r>
      <w:r>
        <w:rPr>
          <w:rFonts w:ascii="Arial" w:hAnsi="Arial" w:cs="Arial"/>
          <w:spacing w:val="3"/>
          <w:sz w:val="24"/>
          <w:szCs w:val="24"/>
          <w:shd w:val="clear" w:color="auto" w:fill="FAFAFA"/>
        </w:rPr>
        <w:t>.</w:t>
      </w:r>
    </w:p>
    <w:p w:rsidR="005C3765" w:rsidRPr="005C3765" w:rsidP="005C3765">
      <w:pPr>
        <w:jc w:val="both"/>
        <w:rPr>
          <w:rFonts w:ascii="Arial" w:hAnsi="Arial" w:cs="Arial"/>
          <w:spacing w:val="3"/>
          <w:sz w:val="24"/>
          <w:szCs w:val="24"/>
          <w:shd w:val="clear" w:color="auto" w:fill="FAFAFA"/>
        </w:rPr>
      </w:pPr>
      <w:r>
        <w:rPr>
          <w:rFonts w:ascii="Arial" w:hAnsi="Arial" w:cs="Arial"/>
          <w:spacing w:val="3"/>
          <w:sz w:val="24"/>
          <w:szCs w:val="24"/>
          <w:shd w:val="clear" w:color="auto" w:fill="FAFAFA"/>
        </w:rPr>
        <w:t>Atualmente o</w:t>
      </w:r>
      <w:r w:rsidRPr="005C3765">
        <w:rPr>
          <w:rFonts w:ascii="Arial" w:hAnsi="Arial" w:cs="Arial"/>
          <w:spacing w:val="3"/>
          <w:sz w:val="24"/>
          <w:szCs w:val="24"/>
          <w:shd w:val="clear" w:color="auto" w:fill="FAFAFA"/>
        </w:rPr>
        <w:t xml:space="preserve"> advogado André Mendonça é o mais novo ministro do Supremo Tribunal Federal (STF), a mais alta Corte judiciária do país, guardiã da Constituição Federal.</w:t>
      </w:r>
    </w:p>
    <w:p w:rsidR="00CA032B" w:rsidRPr="00543DB2" w:rsidP="00CA032B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545840" w:rsidP="00F729A9">
      <w:pPr>
        <w:jc w:val="center"/>
        <w:rPr>
          <w:rFonts w:ascii="Arial" w:hAnsi="Arial" w:cs="Arial"/>
          <w:sz w:val="24"/>
          <w:szCs w:val="24"/>
        </w:rPr>
      </w:pPr>
    </w:p>
    <w:p w:rsidR="00545840" w:rsidP="00F729A9">
      <w:pPr>
        <w:jc w:val="center"/>
        <w:rPr>
          <w:rFonts w:ascii="Arial" w:hAnsi="Arial" w:cs="Arial"/>
          <w:sz w:val="24"/>
          <w:szCs w:val="24"/>
        </w:rPr>
      </w:pPr>
    </w:p>
    <w:p w:rsidR="00F729A9" w:rsidRPr="00543DB2" w:rsidP="00F729A9">
      <w:pPr>
        <w:jc w:val="center"/>
        <w:rPr>
          <w:rFonts w:ascii="Arial" w:hAnsi="Arial" w:cs="Arial"/>
          <w:sz w:val="24"/>
          <w:szCs w:val="24"/>
        </w:rPr>
      </w:pPr>
      <w:r w:rsidRPr="00543DB2">
        <w:rPr>
          <w:rFonts w:ascii="Arial" w:hAnsi="Arial" w:cs="Arial"/>
          <w:sz w:val="24"/>
          <w:szCs w:val="24"/>
        </w:rPr>
        <w:t>Sala das Se</w:t>
      </w:r>
      <w:r w:rsidR="00D63597">
        <w:rPr>
          <w:rFonts w:ascii="Arial" w:hAnsi="Arial" w:cs="Arial"/>
          <w:sz w:val="24"/>
          <w:szCs w:val="24"/>
        </w:rPr>
        <w:t xml:space="preserve">ssões, </w:t>
      </w:r>
      <w:r w:rsidR="00D63597">
        <w:rPr>
          <w:rFonts w:ascii="Arial" w:hAnsi="Arial" w:cs="Arial"/>
          <w:sz w:val="24"/>
          <w:szCs w:val="24"/>
        </w:rPr>
        <w:t>Bemvindo</w:t>
      </w:r>
      <w:r w:rsidR="00D63597">
        <w:rPr>
          <w:rFonts w:ascii="Arial" w:hAnsi="Arial" w:cs="Arial"/>
          <w:sz w:val="24"/>
          <w:szCs w:val="24"/>
        </w:rPr>
        <w:t xml:space="preserve"> Moreira Nery, 18 de março de 2022</w:t>
      </w:r>
      <w:r w:rsidRPr="00543DB2">
        <w:rPr>
          <w:rFonts w:ascii="Arial" w:hAnsi="Arial" w:cs="Arial"/>
          <w:sz w:val="24"/>
          <w:szCs w:val="24"/>
        </w:rPr>
        <w:t>.</w:t>
      </w:r>
    </w:p>
    <w:p w:rsidR="00D63597" w:rsidRPr="00543DB2" w:rsidP="00971FB5">
      <w:pPr>
        <w:jc w:val="both"/>
        <w:rPr>
          <w:rFonts w:ascii="Arial" w:hAnsi="Arial" w:cs="Arial"/>
          <w:sz w:val="24"/>
          <w:szCs w:val="24"/>
        </w:rPr>
      </w:pPr>
    </w:p>
    <w:p w:rsidR="00516DF7" w:rsidRPr="00543DB2" w:rsidP="00971F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43DB2">
        <w:rPr>
          <w:rFonts w:ascii="Arial" w:hAnsi="Arial" w:cs="Arial"/>
          <w:sz w:val="24"/>
          <w:szCs w:val="24"/>
        </w:rPr>
        <w:t>tenciosamente,</w:t>
      </w:r>
      <w:r w:rsidRPr="00D63597" w:rsidR="00D63597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5C3765" w:rsidP="005C3765">
      <w:pPr>
        <w:tabs>
          <w:tab w:val="center" w:pos="4535"/>
          <w:tab w:val="left" w:pos="571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343275" cy="1228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9818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971FB5" w:rsidRPr="005C3765" w:rsidP="005C3765">
      <w:pPr>
        <w:jc w:val="center"/>
        <w:rPr>
          <w:rFonts w:ascii="Arial" w:hAnsi="Arial" w:cs="Arial"/>
          <w:b/>
          <w:sz w:val="24"/>
          <w:szCs w:val="24"/>
        </w:rPr>
      </w:pPr>
      <w:r w:rsidRPr="00392BA3">
        <w:rPr>
          <w:rFonts w:ascii="Arial" w:hAnsi="Arial" w:cs="Arial"/>
          <w:b/>
        </w:rPr>
        <w:t>Doutor Lucas Gabriel Correia Silva</w:t>
      </w:r>
      <w:r w:rsidR="00D63597">
        <w:rPr>
          <w:rFonts w:ascii="Arial" w:hAnsi="Arial" w:cs="Arial"/>
          <w:b/>
        </w:rPr>
        <w:t xml:space="preserve"> Martins</w:t>
      </w:r>
    </w:p>
    <w:p w:rsidR="00CE5A58" w:rsidP="00CA032B">
      <w:pPr>
        <w:tabs>
          <w:tab w:val="left" w:pos="2970"/>
          <w:tab w:val="center" w:pos="4535"/>
          <w:tab w:val="left" w:pos="7890"/>
        </w:tabs>
        <w:spacing w:line="240" w:lineRule="auto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804045">
        <w:rPr>
          <w:rFonts w:ascii="Arial" w:hAnsi="Arial" w:cs="Arial"/>
          <w:b/>
          <w:sz w:val="24"/>
          <w:szCs w:val="24"/>
        </w:rPr>
        <w:t xml:space="preserve">Vereador </w:t>
      </w:r>
      <w:r>
        <w:rPr>
          <w:rFonts w:ascii="Arial" w:hAnsi="Arial" w:cs="Arial"/>
          <w:b/>
          <w:sz w:val="24"/>
          <w:szCs w:val="24"/>
        </w:rPr>
        <w:t>–</w:t>
      </w:r>
      <w:r w:rsidRPr="00804045">
        <w:rPr>
          <w:rFonts w:ascii="Arial" w:hAnsi="Arial" w:cs="Arial"/>
          <w:b/>
          <w:sz w:val="24"/>
          <w:szCs w:val="24"/>
        </w:rPr>
        <w:t>DEM</w:t>
      </w:r>
      <w:r w:rsidR="00CA032B">
        <w:rPr>
          <w:rFonts w:ascii="Arial" w:hAnsi="Arial" w:cs="Arial"/>
          <w:b/>
          <w:sz w:val="24"/>
          <w:szCs w:val="24"/>
        </w:rPr>
        <w:tab/>
      </w:r>
    </w:p>
    <w:p w:rsidR="00CE5A58" w:rsidP="00CE5A58">
      <w:pPr>
        <w:rPr>
          <w:rFonts w:ascii="Arial" w:hAnsi="Arial" w:cs="Arial"/>
          <w:b/>
          <w:noProof/>
          <w:lang w:eastAsia="pt-BR"/>
        </w:rPr>
      </w:pPr>
    </w:p>
    <w:p w:rsidR="00CA032B" w:rsidP="00CE5A58">
      <w:pPr>
        <w:rPr>
          <w:rFonts w:ascii="Arial" w:hAnsi="Arial" w:cs="Arial"/>
          <w:b/>
          <w:noProof/>
          <w:lang w:eastAsia="pt-BR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2CB"/>
    <w:rsid w:val="00074A8F"/>
    <w:rsid w:val="000778B2"/>
    <w:rsid w:val="001207F6"/>
    <w:rsid w:val="00152AE5"/>
    <w:rsid w:val="00235EEF"/>
    <w:rsid w:val="002655B7"/>
    <w:rsid w:val="002757F4"/>
    <w:rsid w:val="0028259C"/>
    <w:rsid w:val="00290C58"/>
    <w:rsid w:val="002D0AE8"/>
    <w:rsid w:val="002E6D4A"/>
    <w:rsid w:val="002F77FB"/>
    <w:rsid w:val="00305C6B"/>
    <w:rsid w:val="003209C7"/>
    <w:rsid w:val="003475A3"/>
    <w:rsid w:val="00392BA3"/>
    <w:rsid w:val="003A0CFC"/>
    <w:rsid w:val="003A5FC0"/>
    <w:rsid w:val="00426C62"/>
    <w:rsid w:val="0043149E"/>
    <w:rsid w:val="00437E26"/>
    <w:rsid w:val="00467CFE"/>
    <w:rsid w:val="004A7066"/>
    <w:rsid w:val="004B11B6"/>
    <w:rsid w:val="004E2A59"/>
    <w:rsid w:val="00516DF7"/>
    <w:rsid w:val="00541EDC"/>
    <w:rsid w:val="005424BC"/>
    <w:rsid w:val="00543DB2"/>
    <w:rsid w:val="00545840"/>
    <w:rsid w:val="00574428"/>
    <w:rsid w:val="005C3136"/>
    <w:rsid w:val="005C3765"/>
    <w:rsid w:val="00632E91"/>
    <w:rsid w:val="00636379"/>
    <w:rsid w:val="00645F4A"/>
    <w:rsid w:val="00661CF0"/>
    <w:rsid w:val="006A4B7F"/>
    <w:rsid w:val="006A7D1D"/>
    <w:rsid w:val="006D0F20"/>
    <w:rsid w:val="006F3164"/>
    <w:rsid w:val="0074105E"/>
    <w:rsid w:val="007639C5"/>
    <w:rsid w:val="00780D4E"/>
    <w:rsid w:val="007908D6"/>
    <w:rsid w:val="00797863"/>
    <w:rsid w:val="00804045"/>
    <w:rsid w:val="008230A3"/>
    <w:rsid w:val="00864F5F"/>
    <w:rsid w:val="00887282"/>
    <w:rsid w:val="00927526"/>
    <w:rsid w:val="00971FB5"/>
    <w:rsid w:val="0097673D"/>
    <w:rsid w:val="009A6C1E"/>
    <w:rsid w:val="009E005B"/>
    <w:rsid w:val="00A1046F"/>
    <w:rsid w:val="00A51AB4"/>
    <w:rsid w:val="00A7476F"/>
    <w:rsid w:val="00B27190"/>
    <w:rsid w:val="00B413BF"/>
    <w:rsid w:val="00BB2E04"/>
    <w:rsid w:val="00BC0B06"/>
    <w:rsid w:val="00BC3014"/>
    <w:rsid w:val="00BD5E2F"/>
    <w:rsid w:val="00C07B3D"/>
    <w:rsid w:val="00C17469"/>
    <w:rsid w:val="00C22B40"/>
    <w:rsid w:val="00C854A6"/>
    <w:rsid w:val="00C8595A"/>
    <w:rsid w:val="00C8758A"/>
    <w:rsid w:val="00CA032B"/>
    <w:rsid w:val="00CC2D4B"/>
    <w:rsid w:val="00CD1705"/>
    <w:rsid w:val="00CE5A58"/>
    <w:rsid w:val="00D14588"/>
    <w:rsid w:val="00D60FC1"/>
    <w:rsid w:val="00D63597"/>
    <w:rsid w:val="00D70754"/>
    <w:rsid w:val="00D80D69"/>
    <w:rsid w:val="00DA0E17"/>
    <w:rsid w:val="00DA4E42"/>
    <w:rsid w:val="00E00656"/>
    <w:rsid w:val="00E20893"/>
    <w:rsid w:val="00E404DC"/>
    <w:rsid w:val="00E57395"/>
    <w:rsid w:val="00F50293"/>
    <w:rsid w:val="00F534EC"/>
    <w:rsid w:val="00F729A9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0FB39-DFAB-4DD6-AD09-644452632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4</cp:revision>
  <cp:lastPrinted>2022-03-18T17:34:00Z</cp:lastPrinted>
  <dcterms:created xsi:type="dcterms:W3CDTF">2022-03-18T16:39:00Z</dcterms:created>
  <dcterms:modified xsi:type="dcterms:W3CDTF">2022-03-18T17:47:00Z</dcterms:modified>
</cp:coreProperties>
</file>