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347/2025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205/2026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critérios para consulta, execução, supervisão e aprovação para obras públicas de reformas ou construção de pistas de skate- no município de Itapevi.”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critérios para consulta, execução, supervisão e aprovação para obras públicas de reformas ou construção de pistas de skate no Município de Itapevi.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 Comissão Permanente que ora manifesta-se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à apreciação do Douto Plenário.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29 de junho de 2026.</w:t>
      </w:r>
    </w:p>
    <w:p w:rsidR="00000000" w:rsidDel="00000000" w:rsidP="00000000" w:rsidRDefault="00000000" w:rsidRPr="00000000" w14:paraId="00000025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Vice-Presidente / Relator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Total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347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-1080073</wp:posOffset>
          </wp:positionH>
          <wp:positionV relativeFrom="paragraph">
            <wp:posOffset>-1518219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LYkos+EIombxB9sYO2CIOxq8Sw==">CgMxLjAyCGguZ2pkZ3hzOAByITFuSmtzQk01aVJQZkJEczF6LU13NndBNlZoQW5DcDBoeQ==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