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57FEE" w14:textId="3A26B7A3" w:rsidR="000E61D6" w:rsidRPr="001278C3" w:rsidRDefault="004F59E3" w:rsidP="000E61D6">
      <w:pPr>
        <w:tabs>
          <w:tab w:val="left" w:pos="540"/>
          <w:tab w:val="left" w:pos="1620"/>
          <w:tab w:val="left" w:pos="1980"/>
        </w:tabs>
        <w:spacing w:after="0"/>
        <w:jc w:val="center"/>
        <w:rPr>
          <w:rFonts w:ascii="Times New Roman" w:hAnsi="Times New Roman" w:cs="Times New Roman"/>
          <w:b/>
          <w:bCs/>
          <w:sz w:val="24"/>
          <w:szCs w:val="24"/>
          <w:u w:val="single"/>
        </w:rPr>
      </w:pPr>
      <w:r w:rsidRPr="001278C3">
        <w:rPr>
          <w:rFonts w:ascii="Times New Roman" w:hAnsi="Times New Roman" w:cs="Times New Roman"/>
          <w:b/>
          <w:bCs/>
          <w:sz w:val="24"/>
          <w:szCs w:val="24"/>
          <w:u w:val="single"/>
        </w:rPr>
        <w:t xml:space="preserve">AUTÓGRAFO Nº </w:t>
      </w:r>
      <w:r w:rsidR="00E06A66" w:rsidRPr="001278C3">
        <w:rPr>
          <w:rFonts w:ascii="Times New Roman" w:hAnsi="Times New Roman" w:cs="Times New Roman"/>
          <w:b/>
          <w:bCs/>
          <w:sz w:val="24"/>
          <w:szCs w:val="24"/>
          <w:u w:val="single"/>
        </w:rPr>
        <w:t>0</w:t>
      </w:r>
      <w:r w:rsidR="00B72899">
        <w:rPr>
          <w:rFonts w:ascii="Times New Roman" w:hAnsi="Times New Roman" w:cs="Times New Roman"/>
          <w:b/>
          <w:bCs/>
          <w:sz w:val="24"/>
          <w:szCs w:val="24"/>
          <w:u w:val="single"/>
        </w:rPr>
        <w:t>91</w:t>
      </w:r>
      <w:r w:rsidR="00354DDB" w:rsidRPr="001278C3">
        <w:rPr>
          <w:rFonts w:ascii="Times New Roman" w:hAnsi="Times New Roman" w:cs="Times New Roman"/>
          <w:b/>
          <w:bCs/>
          <w:sz w:val="24"/>
          <w:szCs w:val="24"/>
          <w:u w:val="single"/>
        </w:rPr>
        <w:t>/202</w:t>
      </w:r>
      <w:r w:rsidR="001278C3" w:rsidRPr="001278C3">
        <w:rPr>
          <w:rFonts w:ascii="Times New Roman" w:hAnsi="Times New Roman" w:cs="Times New Roman"/>
          <w:b/>
          <w:bCs/>
          <w:sz w:val="24"/>
          <w:szCs w:val="24"/>
          <w:u w:val="single"/>
        </w:rPr>
        <w:t>6</w:t>
      </w:r>
    </w:p>
    <w:p w14:paraId="22F9C19A" w14:textId="424FBB69" w:rsidR="00FE17FD" w:rsidRPr="001278C3" w:rsidRDefault="00480529" w:rsidP="001C5BE8">
      <w:pPr>
        <w:tabs>
          <w:tab w:val="left" w:pos="540"/>
          <w:tab w:val="left" w:pos="1620"/>
          <w:tab w:val="left" w:pos="1980"/>
        </w:tabs>
        <w:spacing w:after="0"/>
        <w:jc w:val="center"/>
        <w:rPr>
          <w:rFonts w:ascii="Times New Roman" w:hAnsi="Times New Roman" w:cs="Times New Roman"/>
          <w:b/>
          <w:bCs/>
          <w:sz w:val="24"/>
          <w:szCs w:val="24"/>
          <w:u w:val="single"/>
        </w:rPr>
      </w:pPr>
      <w:r w:rsidRPr="001278C3">
        <w:rPr>
          <w:rFonts w:ascii="Times New Roman" w:hAnsi="Times New Roman" w:cs="Times New Roman"/>
          <w:b/>
          <w:bCs/>
          <w:sz w:val="24"/>
          <w:szCs w:val="24"/>
          <w:u w:val="single"/>
        </w:rPr>
        <w:t>PROJETO DE LEI</w:t>
      </w:r>
      <w:r w:rsidR="00373596">
        <w:rPr>
          <w:rFonts w:ascii="Times New Roman" w:hAnsi="Times New Roman" w:cs="Times New Roman"/>
          <w:b/>
          <w:bCs/>
          <w:sz w:val="24"/>
          <w:szCs w:val="24"/>
          <w:u w:val="single"/>
        </w:rPr>
        <w:t xml:space="preserve"> COMPLEMENTAR Nº</w:t>
      </w:r>
      <w:r w:rsidR="00C94FEF" w:rsidRPr="001278C3">
        <w:rPr>
          <w:rFonts w:ascii="Times New Roman" w:hAnsi="Times New Roman" w:cs="Times New Roman"/>
          <w:b/>
          <w:bCs/>
          <w:sz w:val="24"/>
          <w:szCs w:val="24"/>
          <w:u w:val="single"/>
        </w:rPr>
        <w:t xml:space="preserve"> </w:t>
      </w:r>
      <w:r w:rsidR="00373596">
        <w:rPr>
          <w:rFonts w:ascii="Times New Roman" w:hAnsi="Times New Roman" w:cs="Times New Roman"/>
          <w:b/>
          <w:bCs/>
          <w:sz w:val="24"/>
          <w:szCs w:val="24"/>
          <w:u w:val="single"/>
        </w:rPr>
        <w:t>009</w:t>
      </w:r>
      <w:r w:rsidR="00E93C6E">
        <w:rPr>
          <w:rFonts w:ascii="Times New Roman" w:hAnsi="Times New Roman" w:cs="Times New Roman"/>
          <w:b/>
          <w:bCs/>
          <w:sz w:val="24"/>
          <w:szCs w:val="24"/>
          <w:u w:val="single"/>
        </w:rPr>
        <w:t>/2026</w:t>
      </w:r>
      <w:r w:rsidR="008C125E" w:rsidRPr="001278C3">
        <w:rPr>
          <w:rFonts w:ascii="Times New Roman" w:hAnsi="Times New Roman" w:cs="Times New Roman"/>
          <w:b/>
          <w:bCs/>
          <w:sz w:val="24"/>
          <w:szCs w:val="24"/>
          <w:u w:val="single"/>
        </w:rPr>
        <w:t xml:space="preserve"> - DO </w:t>
      </w:r>
      <w:r w:rsidR="005B2B6F">
        <w:rPr>
          <w:rFonts w:ascii="Times New Roman" w:hAnsi="Times New Roman" w:cs="Times New Roman"/>
          <w:b/>
          <w:bCs/>
          <w:sz w:val="24"/>
          <w:szCs w:val="24"/>
          <w:u w:val="single"/>
        </w:rPr>
        <w:t>EXECUTIVO</w:t>
      </w:r>
    </w:p>
    <w:p w14:paraId="5CB5AA73" w14:textId="77777777" w:rsidR="00556E63" w:rsidRPr="009E3A5E" w:rsidRDefault="00556E63" w:rsidP="005B2B6F">
      <w:pPr>
        <w:tabs>
          <w:tab w:val="left" w:pos="2835"/>
        </w:tabs>
        <w:spacing w:line="240" w:lineRule="auto"/>
        <w:rPr>
          <w:rFonts w:ascii="Courier New" w:hAnsi="Courier New" w:cs="Courier New"/>
          <w:sz w:val="24"/>
          <w:szCs w:val="24"/>
        </w:rPr>
      </w:pPr>
    </w:p>
    <w:p w14:paraId="62A80384" w14:textId="4D5D5010" w:rsidR="005B2B6F" w:rsidRDefault="00373596" w:rsidP="008063DD">
      <w:pPr>
        <w:autoSpaceDE w:val="0"/>
        <w:autoSpaceDN w:val="0"/>
        <w:adjustRightInd w:val="0"/>
        <w:spacing w:after="0" w:line="360" w:lineRule="auto"/>
        <w:ind w:left="3402"/>
        <w:jc w:val="both"/>
        <w:rPr>
          <w:rFonts w:ascii="TimesNewRomanPSMT" w:hAnsi="TimesNewRomanPSMT" w:cs="TimesNewRomanPSMT"/>
          <w:b/>
          <w:sz w:val="24"/>
          <w:szCs w:val="24"/>
        </w:rPr>
      </w:pPr>
      <w:r>
        <w:rPr>
          <w:rFonts w:ascii="TimesNewRomanPSMT" w:hAnsi="TimesNewRomanPSMT" w:cs="TimesNewRomanPSMT"/>
          <w:b/>
          <w:bCs/>
          <w:sz w:val="24"/>
          <w:szCs w:val="24"/>
        </w:rPr>
        <w:t>“</w:t>
      </w:r>
      <w:r w:rsidRPr="00373596">
        <w:rPr>
          <w:rFonts w:ascii="TimesNewRomanPSMT" w:hAnsi="TimesNewRomanPSMT" w:cs="TimesNewRomanPSMT"/>
          <w:b/>
          <w:bCs/>
          <w:sz w:val="24"/>
          <w:szCs w:val="24"/>
        </w:rPr>
        <w:t>DISPÕES SOBRE A VALORIZAÇÃO DO TRABALHO DA GUARDA CIVIL MUNICIPAL DE ITAPEVI E DÁ OUTRAS PROVIDÊNCIAS.</w:t>
      </w:r>
    </w:p>
    <w:p w14:paraId="12F3E08D" w14:textId="0C4546B2" w:rsidR="005B2B6F" w:rsidRPr="005B2B6F" w:rsidRDefault="005B2B6F" w:rsidP="008063DD">
      <w:pPr>
        <w:autoSpaceDE w:val="0"/>
        <w:autoSpaceDN w:val="0"/>
        <w:adjustRightInd w:val="0"/>
        <w:spacing w:after="0" w:line="360" w:lineRule="auto"/>
        <w:ind w:left="3402"/>
        <w:jc w:val="both"/>
        <w:rPr>
          <w:rFonts w:ascii="TimesNewRomanPSMT" w:hAnsi="TimesNewRomanPSMT" w:cs="TimesNewRomanPSMT"/>
          <w:b/>
          <w:sz w:val="24"/>
          <w:szCs w:val="24"/>
        </w:rPr>
      </w:pPr>
      <w:r>
        <w:rPr>
          <w:rFonts w:ascii="TimesNewRomanPSMT" w:hAnsi="TimesNewRomanPSMT" w:cs="TimesNewRomanPSMT"/>
          <w:b/>
          <w:sz w:val="24"/>
          <w:szCs w:val="24"/>
        </w:rPr>
        <w:t>AUTOR: PODER EXECUTIVO</w:t>
      </w:r>
      <w:r w:rsidR="00373596">
        <w:rPr>
          <w:rFonts w:ascii="TimesNewRomanPSMT" w:hAnsi="TimesNewRomanPSMT" w:cs="TimesNewRomanPSMT"/>
          <w:b/>
          <w:sz w:val="24"/>
          <w:szCs w:val="24"/>
        </w:rPr>
        <w:t>”.</w:t>
      </w:r>
    </w:p>
    <w:p w14:paraId="4F237D77" w14:textId="77777777" w:rsidR="00BD35B4" w:rsidRPr="00556E63" w:rsidRDefault="00BD35B4" w:rsidP="008063DD">
      <w:pPr>
        <w:autoSpaceDE w:val="0"/>
        <w:autoSpaceDN w:val="0"/>
        <w:adjustRightInd w:val="0"/>
        <w:spacing w:after="0" w:line="360" w:lineRule="auto"/>
        <w:ind w:left="3402"/>
        <w:jc w:val="both"/>
        <w:rPr>
          <w:rFonts w:ascii="TimesNewRomanPSMT" w:hAnsi="TimesNewRomanPSMT" w:cs="TimesNewRomanPSMT"/>
          <w:sz w:val="24"/>
          <w:szCs w:val="24"/>
        </w:rPr>
      </w:pPr>
    </w:p>
    <w:p w14:paraId="31EA2B2C" w14:textId="77777777" w:rsidR="005B2B6F" w:rsidRPr="005B2B6F" w:rsidRDefault="005B2B6F" w:rsidP="008063DD">
      <w:pPr>
        <w:spacing w:after="0" w:line="360" w:lineRule="auto"/>
        <w:ind w:left="3402"/>
        <w:contextualSpacing/>
        <w:jc w:val="both"/>
        <w:rPr>
          <w:rFonts w:ascii="Times New Roman" w:eastAsia="Times New Roman" w:hAnsi="Times New Roman" w:cs="Times New Roman"/>
          <w:sz w:val="24"/>
          <w:szCs w:val="24"/>
        </w:rPr>
      </w:pPr>
      <w:r w:rsidRPr="005B2B6F">
        <w:rPr>
          <w:rFonts w:ascii="Times New Roman" w:eastAsia="Times New Roman" w:hAnsi="Times New Roman" w:cs="Times New Roman"/>
          <w:b/>
          <w:bCs/>
          <w:sz w:val="24"/>
          <w:szCs w:val="24"/>
        </w:rPr>
        <w:t xml:space="preserve">MARCOS FERREIRA GODOY, </w:t>
      </w:r>
      <w:r w:rsidRPr="005B2B6F">
        <w:rPr>
          <w:rFonts w:ascii="Times New Roman" w:eastAsia="Times New Roman" w:hAnsi="Times New Roman" w:cs="Times New Roman"/>
          <w:sz w:val="24"/>
          <w:szCs w:val="24"/>
        </w:rPr>
        <w:t>Prefeito do Município de Itapevi/SP, no uso das atribuições que lhe são conferidas pelo artigo 48 da Lei Orgânica do Município;</w:t>
      </w:r>
    </w:p>
    <w:p w14:paraId="7F870488" w14:textId="77777777" w:rsidR="005B2B6F" w:rsidRPr="005B2B6F" w:rsidRDefault="005B2B6F" w:rsidP="008063DD">
      <w:pPr>
        <w:spacing w:after="0" w:line="360" w:lineRule="auto"/>
        <w:ind w:left="2835"/>
        <w:contextualSpacing/>
        <w:jc w:val="both"/>
        <w:rPr>
          <w:rFonts w:ascii="Times New Roman" w:eastAsia="Times New Roman" w:hAnsi="Times New Roman" w:cs="Times New Roman"/>
          <w:sz w:val="24"/>
          <w:szCs w:val="24"/>
        </w:rPr>
      </w:pPr>
    </w:p>
    <w:p w14:paraId="79C5D588" w14:textId="31A422DB" w:rsidR="005B2B6F" w:rsidRPr="005B2B6F" w:rsidRDefault="005B2B6F" w:rsidP="008063DD">
      <w:pPr>
        <w:spacing w:after="0" w:line="360" w:lineRule="auto"/>
        <w:jc w:val="both"/>
        <w:rPr>
          <w:rFonts w:ascii="Times New Roman" w:eastAsia="Times New Roman" w:hAnsi="Times New Roman" w:cs="Times New Roman"/>
          <w:sz w:val="24"/>
          <w:szCs w:val="24"/>
        </w:rPr>
      </w:pPr>
      <w:r w:rsidRPr="005B2B6F">
        <w:rPr>
          <w:rFonts w:ascii="Times New Roman" w:eastAsia="Times New Roman" w:hAnsi="Times New Roman" w:cs="Times New Roman"/>
          <w:b/>
          <w:bCs/>
          <w:sz w:val="24"/>
          <w:szCs w:val="24"/>
        </w:rPr>
        <w:t>FAÇO SABER</w:t>
      </w:r>
      <w:r w:rsidRPr="005B2B6F">
        <w:rPr>
          <w:rFonts w:ascii="Times New Roman" w:eastAsia="Times New Roman" w:hAnsi="Times New Roman" w:cs="Times New Roman"/>
          <w:sz w:val="24"/>
          <w:szCs w:val="24"/>
        </w:rPr>
        <w:t xml:space="preserve"> que a Câmara Municipal de Itapevi aprova e ele promulga e sanciona a seguinte Lei:</w:t>
      </w:r>
    </w:p>
    <w:p w14:paraId="359DB3A0" w14:textId="77777777" w:rsidR="005B2B6F" w:rsidRPr="00750565" w:rsidRDefault="005B2B6F" w:rsidP="008063DD">
      <w:pPr>
        <w:spacing w:after="0" w:line="360" w:lineRule="auto"/>
        <w:jc w:val="both"/>
        <w:rPr>
          <w:rFonts w:ascii="Times New Roman" w:eastAsia="Times New Roman" w:hAnsi="Times New Roman" w:cs="Times New Roman"/>
          <w:sz w:val="24"/>
          <w:szCs w:val="24"/>
        </w:rPr>
      </w:pPr>
    </w:p>
    <w:p w14:paraId="2243219D"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b/>
          <w:bCs/>
          <w:sz w:val="24"/>
          <w:szCs w:val="24"/>
        </w:rPr>
        <w:t>Art. 1º</w:t>
      </w:r>
      <w:r w:rsidRPr="00750565">
        <w:rPr>
          <w:rFonts w:ascii="Times New Roman" w:eastAsia="Times New Roman" w:hAnsi="Times New Roman" w:cs="Times New Roman"/>
          <w:sz w:val="24"/>
          <w:szCs w:val="24"/>
        </w:rPr>
        <w:t xml:space="preserve"> Fica reconhecido que as atividades exercidas pelos integrantes da Guarda Civil Municipal de Itapevi constituem atividade de risco permanente, em razão da exposição habitual e contínua a situações que possam comprometer sua integridade física e sua vida, decorrentes do exercício das competências previstas no art. 144, § 8º, da Constituição Federal, na Lei Federal nº 13.022, de 08 de agosto de 2014, e demais normas aplicáveis.</w:t>
      </w:r>
    </w:p>
    <w:p w14:paraId="046D41DB"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6E841C6A"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b/>
          <w:bCs/>
          <w:sz w:val="24"/>
          <w:szCs w:val="24"/>
        </w:rPr>
        <w:t>§ 1º</w:t>
      </w:r>
      <w:r w:rsidRPr="00750565">
        <w:rPr>
          <w:rFonts w:ascii="Times New Roman" w:eastAsia="Times New Roman" w:hAnsi="Times New Roman" w:cs="Times New Roman"/>
          <w:sz w:val="24"/>
          <w:szCs w:val="24"/>
        </w:rPr>
        <w:t xml:space="preserve"> O reconhecimento da atividade de risco permanente decorre da atuação dos Guardas Civis Municipais na proteção preventiva municipal, no policiamento preventivo, na fiscalização, no atendimento de ocorrências, no patrulhamento ostensivo, na proteção de bens, serviços e instalações públicas, no apoio aos demais órgãos de segurança pública e no exercício do poder de polícia administrativa.</w:t>
      </w:r>
    </w:p>
    <w:p w14:paraId="5D42EEA4"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6BC9E537"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b/>
          <w:bCs/>
          <w:sz w:val="24"/>
          <w:szCs w:val="24"/>
        </w:rPr>
        <w:lastRenderedPageBreak/>
        <w:t>§ 2º</w:t>
      </w:r>
      <w:r w:rsidRPr="00750565">
        <w:rPr>
          <w:rFonts w:ascii="Times New Roman" w:eastAsia="Times New Roman" w:hAnsi="Times New Roman" w:cs="Times New Roman"/>
          <w:sz w:val="24"/>
          <w:szCs w:val="24"/>
        </w:rPr>
        <w:t xml:space="preserve"> A atividade de Guarda Civil Municipal caracteriza-se como atividade perigosa para todos os efeitos legais, independentemente da unidade de lotação ou da função operacional específica desempenhada pelo servidor.</w:t>
      </w:r>
    </w:p>
    <w:p w14:paraId="3B6B4E71"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1EAD086A"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b/>
          <w:bCs/>
          <w:sz w:val="24"/>
          <w:szCs w:val="24"/>
        </w:rPr>
        <w:t>§ 3º</w:t>
      </w:r>
      <w:r w:rsidRPr="00750565">
        <w:rPr>
          <w:rFonts w:ascii="Times New Roman" w:eastAsia="Times New Roman" w:hAnsi="Times New Roman" w:cs="Times New Roman"/>
          <w:sz w:val="24"/>
          <w:szCs w:val="24"/>
        </w:rPr>
        <w:t xml:space="preserve"> Os integrantes da Guarda Civil Municipal passam a fazer jus ao adicional de periculosidade previsto Lei nº 2.729, de 26 de setembro de 2019, observados os mesmos critérios e percentuais aplicáveis aos demais servidores municipais submetidos a atividades perigosas.</w:t>
      </w:r>
    </w:p>
    <w:p w14:paraId="6F28894C"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01280AB2"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b/>
          <w:bCs/>
          <w:sz w:val="24"/>
          <w:szCs w:val="24"/>
        </w:rPr>
        <w:t>§ 4º</w:t>
      </w:r>
      <w:r w:rsidRPr="00750565">
        <w:rPr>
          <w:rFonts w:ascii="Times New Roman" w:eastAsia="Times New Roman" w:hAnsi="Times New Roman" w:cs="Times New Roman"/>
          <w:sz w:val="24"/>
          <w:szCs w:val="24"/>
        </w:rPr>
        <w:t xml:space="preserve"> Fica revogado o inciso II do art. 3º da Lei nº 2.729, de 26 de setembro de 2019.</w:t>
      </w:r>
    </w:p>
    <w:p w14:paraId="782EF94C"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3D1EC003"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b/>
          <w:bCs/>
          <w:sz w:val="24"/>
          <w:szCs w:val="24"/>
        </w:rPr>
        <w:t>§ 5º</w:t>
      </w:r>
      <w:r w:rsidRPr="00750565">
        <w:rPr>
          <w:rFonts w:ascii="Times New Roman" w:eastAsia="Times New Roman" w:hAnsi="Times New Roman" w:cs="Times New Roman"/>
          <w:sz w:val="24"/>
          <w:szCs w:val="24"/>
        </w:rPr>
        <w:t xml:space="preserve"> O adicional de periculosidade será calculado na forma prevista na legislação municipal específica e incidirá exclusivamente enquanto permanecerem presentes as condições que caracterizam a atividade perigosa.</w:t>
      </w:r>
    </w:p>
    <w:p w14:paraId="5FB90B94"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58FE1A76"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b/>
          <w:bCs/>
          <w:sz w:val="24"/>
          <w:szCs w:val="24"/>
        </w:rPr>
        <w:t>§ 6º</w:t>
      </w:r>
      <w:r w:rsidRPr="00750565">
        <w:rPr>
          <w:rFonts w:ascii="Times New Roman" w:eastAsia="Times New Roman" w:hAnsi="Times New Roman" w:cs="Times New Roman"/>
          <w:sz w:val="24"/>
          <w:szCs w:val="24"/>
        </w:rPr>
        <w:t xml:space="preserve"> O adicional de periculosidade não será cumulável com outra parcela remuneratória que possua idêntico fato gerador.</w:t>
      </w:r>
    </w:p>
    <w:p w14:paraId="2749F7B6"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5BB0C899" w14:textId="77777777" w:rsidR="00750565" w:rsidRPr="00750565" w:rsidRDefault="00750565" w:rsidP="00750565">
      <w:pPr>
        <w:spacing w:line="360" w:lineRule="auto"/>
        <w:jc w:val="center"/>
        <w:rPr>
          <w:rFonts w:ascii="Times New Roman" w:eastAsia="Times New Roman" w:hAnsi="Times New Roman" w:cs="Times New Roman"/>
          <w:b/>
          <w:bCs/>
          <w:sz w:val="24"/>
          <w:szCs w:val="24"/>
        </w:rPr>
      </w:pPr>
      <w:r w:rsidRPr="00750565">
        <w:rPr>
          <w:rFonts w:ascii="Times New Roman" w:eastAsia="Times New Roman" w:hAnsi="Times New Roman" w:cs="Times New Roman"/>
          <w:b/>
          <w:bCs/>
          <w:sz w:val="24"/>
          <w:szCs w:val="24"/>
        </w:rPr>
        <w:t xml:space="preserve">CAPÍTULO II  </w:t>
      </w:r>
    </w:p>
    <w:p w14:paraId="280C7A5D" w14:textId="77777777" w:rsidR="00750565" w:rsidRPr="00750565" w:rsidRDefault="00750565" w:rsidP="00750565">
      <w:pPr>
        <w:spacing w:line="360" w:lineRule="auto"/>
        <w:jc w:val="center"/>
        <w:rPr>
          <w:rFonts w:ascii="Times New Roman" w:eastAsia="Times New Roman" w:hAnsi="Times New Roman" w:cs="Times New Roman"/>
          <w:b/>
          <w:bCs/>
          <w:sz w:val="24"/>
          <w:szCs w:val="24"/>
        </w:rPr>
      </w:pPr>
      <w:r w:rsidRPr="00750565">
        <w:rPr>
          <w:rFonts w:ascii="Times New Roman" w:eastAsia="Times New Roman" w:hAnsi="Times New Roman" w:cs="Times New Roman"/>
          <w:b/>
          <w:bCs/>
          <w:sz w:val="24"/>
          <w:szCs w:val="24"/>
        </w:rPr>
        <w:t>DA GRATIFICAÇÃO POR PRODUTIVIDADE OPERACIONAL (GPO)</w:t>
      </w:r>
    </w:p>
    <w:p w14:paraId="01BF0107"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179728B6"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167C86">
        <w:rPr>
          <w:rFonts w:ascii="Times New Roman" w:eastAsia="Times New Roman" w:hAnsi="Times New Roman" w:cs="Times New Roman"/>
          <w:b/>
          <w:bCs/>
          <w:sz w:val="24"/>
          <w:szCs w:val="24"/>
        </w:rPr>
        <w:t>Art. 2º</w:t>
      </w:r>
      <w:r w:rsidRPr="00750565">
        <w:rPr>
          <w:rFonts w:ascii="Times New Roman" w:eastAsia="Times New Roman" w:hAnsi="Times New Roman" w:cs="Times New Roman"/>
          <w:sz w:val="24"/>
          <w:szCs w:val="24"/>
        </w:rPr>
        <w:t xml:space="preserve"> Fica instituída a gratificação específica da carreira de Guarda Civil Municipal, denominada de Gratificação por Produtividade Operacional (GPO).</w:t>
      </w:r>
    </w:p>
    <w:p w14:paraId="1D018651"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5E8AA4BF"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167C86">
        <w:rPr>
          <w:rFonts w:ascii="Times New Roman" w:eastAsia="Times New Roman" w:hAnsi="Times New Roman" w:cs="Times New Roman"/>
          <w:b/>
          <w:bCs/>
          <w:sz w:val="24"/>
          <w:szCs w:val="24"/>
        </w:rPr>
        <w:lastRenderedPageBreak/>
        <w:t>Art. 3º</w:t>
      </w:r>
      <w:r w:rsidRPr="00750565">
        <w:rPr>
          <w:rFonts w:ascii="Times New Roman" w:eastAsia="Times New Roman" w:hAnsi="Times New Roman" w:cs="Times New Roman"/>
          <w:sz w:val="24"/>
          <w:szCs w:val="24"/>
        </w:rPr>
        <w:t xml:space="preserve"> A Gratificação por Produtividade Operacional – GPO será concedida aos guardas civis municipais que atingirem as metas de desempenho estabelecidas nesta Lei Complementar e em regulamento próprio, se houver.</w:t>
      </w:r>
    </w:p>
    <w:p w14:paraId="07DF0CA1"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12F43CC8"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167C86">
        <w:rPr>
          <w:rFonts w:ascii="Times New Roman" w:eastAsia="Times New Roman" w:hAnsi="Times New Roman" w:cs="Times New Roman"/>
          <w:b/>
          <w:bCs/>
          <w:sz w:val="24"/>
          <w:szCs w:val="24"/>
        </w:rPr>
        <w:t>§ 1º</w:t>
      </w:r>
      <w:r w:rsidRPr="00750565">
        <w:rPr>
          <w:rFonts w:ascii="Times New Roman" w:eastAsia="Times New Roman" w:hAnsi="Times New Roman" w:cs="Times New Roman"/>
          <w:sz w:val="24"/>
          <w:szCs w:val="24"/>
        </w:rPr>
        <w:t xml:space="preserve"> A GPO corresponderá a até 60% (sessenta por cento) do vencimento-base do servidor.</w:t>
      </w:r>
    </w:p>
    <w:p w14:paraId="3ECC724A"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44494C1C"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B34ABA">
        <w:rPr>
          <w:rFonts w:ascii="Times New Roman" w:eastAsia="Times New Roman" w:hAnsi="Times New Roman" w:cs="Times New Roman"/>
          <w:b/>
          <w:bCs/>
          <w:sz w:val="24"/>
          <w:szCs w:val="24"/>
        </w:rPr>
        <w:t>§ 2º</w:t>
      </w:r>
      <w:r w:rsidRPr="00750565">
        <w:rPr>
          <w:rFonts w:ascii="Times New Roman" w:eastAsia="Times New Roman" w:hAnsi="Times New Roman" w:cs="Times New Roman"/>
          <w:sz w:val="24"/>
          <w:szCs w:val="24"/>
        </w:rPr>
        <w:t xml:space="preserve"> A avaliação será realizada mensalmente, mediante sistema de pontuação de até 100 (cem) pontos, considerando a natureza das atribuições desempenhadas pelo servidor.</w:t>
      </w:r>
    </w:p>
    <w:p w14:paraId="4AF9B619"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68CBB472"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B34ABA">
        <w:rPr>
          <w:rFonts w:ascii="Times New Roman" w:eastAsia="Times New Roman" w:hAnsi="Times New Roman" w:cs="Times New Roman"/>
          <w:b/>
          <w:bCs/>
          <w:sz w:val="24"/>
          <w:szCs w:val="24"/>
        </w:rPr>
        <w:t>§ 3º</w:t>
      </w:r>
      <w:r w:rsidRPr="00750565">
        <w:rPr>
          <w:rFonts w:ascii="Times New Roman" w:eastAsia="Times New Roman" w:hAnsi="Times New Roman" w:cs="Times New Roman"/>
          <w:sz w:val="24"/>
          <w:szCs w:val="24"/>
        </w:rPr>
        <w:t xml:space="preserve"> A gratificação será concedida conforme a seguinte escala:</w:t>
      </w:r>
    </w:p>
    <w:p w14:paraId="69D671AC"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62D3C1C7"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 xml:space="preserve">I – </w:t>
      </w:r>
      <w:proofErr w:type="gramStart"/>
      <w:r w:rsidRPr="00750565">
        <w:rPr>
          <w:rFonts w:ascii="Times New Roman" w:eastAsia="Times New Roman" w:hAnsi="Times New Roman" w:cs="Times New Roman"/>
          <w:sz w:val="24"/>
          <w:szCs w:val="24"/>
        </w:rPr>
        <w:t>de</w:t>
      </w:r>
      <w:proofErr w:type="gramEnd"/>
      <w:r w:rsidRPr="00750565">
        <w:rPr>
          <w:rFonts w:ascii="Times New Roman" w:eastAsia="Times New Roman" w:hAnsi="Times New Roman" w:cs="Times New Roman"/>
          <w:sz w:val="24"/>
          <w:szCs w:val="24"/>
        </w:rPr>
        <w:t xml:space="preserve"> 90 a 100 pontos: 60% do vencimento-base;</w:t>
      </w:r>
    </w:p>
    <w:p w14:paraId="70BDD784"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3E01D631"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 xml:space="preserve">II – </w:t>
      </w:r>
      <w:proofErr w:type="gramStart"/>
      <w:r w:rsidRPr="00750565">
        <w:rPr>
          <w:rFonts w:ascii="Times New Roman" w:eastAsia="Times New Roman" w:hAnsi="Times New Roman" w:cs="Times New Roman"/>
          <w:sz w:val="24"/>
          <w:szCs w:val="24"/>
        </w:rPr>
        <w:t>de</w:t>
      </w:r>
      <w:proofErr w:type="gramEnd"/>
      <w:r w:rsidRPr="00750565">
        <w:rPr>
          <w:rFonts w:ascii="Times New Roman" w:eastAsia="Times New Roman" w:hAnsi="Times New Roman" w:cs="Times New Roman"/>
          <w:sz w:val="24"/>
          <w:szCs w:val="24"/>
        </w:rPr>
        <w:t xml:space="preserve"> 60 a 90 pontos: 40% do vencimento-base;</w:t>
      </w:r>
    </w:p>
    <w:p w14:paraId="6782FDB9"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274C9FF0"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III – de 30 a 60 pontos: 20% do vencimento-base;</w:t>
      </w:r>
    </w:p>
    <w:p w14:paraId="41A08C16"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472AEFEC"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 xml:space="preserve">IV – </w:t>
      </w:r>
      <w:proofErr w:type="gramStart"/>
      <w:r w:rsidRPr="00750565">
        <w:rPr>
          <w:rFonts w:ascii="Times New Roman" w:eastAsia="Times New Roman" w:hAnsi="Times New Roman" w:cs="Times New Roman"/>
          <w:sz w:val="24"/>
          <w:szCs w:val="24"/>
        </w:rPr>
        <w:t>abaixo de</w:t>
      </w:r>
      <w:proofErr w:type="gramEnd"/>
      <w:r w:rsidRPr="00750565">
        <w:rPr>
          <w:rFonts w:ascii="Times New Roman" w:eastAsia="Times New Roman" w:hAnsi="Times New Roman" w:cs="Times New Roman"/>
          <w:sz w:val="24"/>
          <w:szCs w:val="24"/>
        </w:rPr>
        <w:t xml:space="preserve"> 30 pontos: não fará jus à gratificação.</w:t>
      </w:r>
    </w:p>
    <w:p w14:paraId="554318F5"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0A21623F"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B34ABA">
        <w:rPr>
          <w:rFonts w:ascii="Times New Roman" w:eastAsia="Times New Roman" w:hAnsi="Times New Roman" w:cs="Times New Roman"/>
          <w:b/>
          <w:bCs/>
          <w:sz w:val="24"/>
          <w:szCs w:val="24"/>
        </w:rPr>
        <w:t>Art. 4º</w:t>
      </w:r>
      <w:r w:rsidRPr="00750565">
        <w:rPr>
          <w:rFonts w:ascii="Times New Roman" w:eastAsia="Times New Roman" w:hAnsi="Times New Roman" w:cs="Times New Roman"/>
          <w:sz w:val="24"/>
          <w:szCs w:val="24"/>
        </w:rPr>
        <w:t xml:space="preserve"> Para os integrantes da Guarda Civil Municipal que exerçam atividades operacionais de patrulhamento, a pontuação será atribuída da seguinte forma:</w:t>
      </w:r>
    </w:p>
    <w:p w14:paraId="3DC2CC4D"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75246F66"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lastRenderedPageBreak/>
        <w:t>I – Assiduidade e Pontualidade (30 pontos):</w:t>
      </w:r>
    </w:p>
    <w:p w14:paraId="11D29C8F"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57CCE134"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a) sem faltas injustificadas no período: 15 pontos;</w:t>
      </w:r>
    </w:p>
    <w:p w14:paraId="69E87E20"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b) sem atrasos ou saídas antecipadas injustificadas: 15 pontos.</w:t>
      </w:r>
    </w:p>
    <w:p w14:paraId="173B8398"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61341C42"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II – Produtividade Operacional (70 pontos):</w:t>
      </w:r>
    </w:p>
    <w:p w14:paraId="272CF91A"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035D2E38"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a) participação em atendimentos de ocorrências devidamente registradas: 15 pontos;</w:t>
      </w:r>
    </w:p>
    <w:p w14:paraId="28C2D0AB"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b) elaboração de relatórios operacionais e boletins de serviço em até 48h da finalização da ocorrência: 15 pontos;</w:t>
      </w:r>
    </w:p>
    <w:p w14:paraId="54CBFE0C"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c) participação em fiscalizações, bloqueios e ações preventivas, bem como em operações especiais, integradas ou extraordinárias convocadas pela Administração: 10 pontos;</w:t>
      </w:r>
    </w:p>
    <w:p w14:paraId="30DDE89A"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d) cumprimento integral dos setores e rotas designadas, salvo impedimento de força maior ou atendimento emergencial de ocorrência e apoio: 10 pontos;</w:t>
      </w:r>
    </w:p>
    <w:p w14:paraId="4C313868"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e) disciplina funcional: ausência de penalidades disciplinares no período avaliado: 20 pontos;</w:t>
      </w:r>
    </w:p>
    <w:p w14:paraId="174DCD2B"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1EC4A6DE"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B34ABA">
        <w:rPr>
          <w:rFonts w:ascii="Times New Roman" w:eastAsia="Times New Roman" w:hAnsi="Times New Roman" w:cs="Times New Roman"/>
          <w:b/>
          <w:bCs/>
          <w:sz w:val="24"/>
          <w:szCs w:val="24"/>
        </w:rPr>
        <w:t>Art. 5º</w:t>
      </w:r>
      <w:r w:rsidRPr="00750565">
        <w:rPr>
          <w:rFonts w:ascii="Times New Roman" w:eastAsia="Times New Roman" w:hAnsi="Times New Roman" w:cs="Times New Roman"/>
          <w:sz w:val="24"/>
          <w:szCs w:val="24"/>
        </w:rPr>
        <w:t xml:space="preserve"> Para os servidores lotados no Centro de Operações Integradas – COI, a pontuação será atribuída da seguinte forma:</w:t>
      </w:r>
    </w:p>
    <w:p w14:paraId="7942479F"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7EC288B5"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I – Assiduidade e Pontualidade (30 pontos):</w:t>
      </w:r>
    </w:p>
    <w:p w14:paraId="080381F7"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099D9E1A"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a) sem faltas injustificadas: 15 pontos;</w:t>
      </w:r>
    </w:p>
    <w:p w14:paraId="7EC6F5DA"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lastRenderedPageBreak/>
        <w:t>b) sem atrasos ou saídas antecipadas injustificadas: 15 pontos.</w:t>
      </w:r>
    </w:p>
    <w:p w14:paraId="31D2A50E"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7912E379"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II – Produtividade de Monitoramento (70 pontos):</w:t>
      </w:r>
    </w:p>
    <w:p w14:paraId="64AD8D8B"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711BFF9C"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a) identificação e registro de ocorrências por videomonitoramento (ao menos uma ocorrência identificada no plantão): 30 pontos;</w:t>
      </w:r>
    </w:p>
    <w:p w14:paraId="5A29F603"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b) despachos operacionais realizados às equipes de campo (ao menos uma ocorrência no plantão): 10 pontos;</w:t>
      </w:r>
      <w:r w:rsidRPr="00750565">
        <w:rPr>
          <w:rFonts w:ascii="Times New Roman" w:eastAsia="Times New Roman" w:hAnsi="Times New Roman" w:cs="Times New Roman"/>
          <w:sz w:val="24"/>
          <w:szCs w:val="24"/>
        </w:rPr>
        <w:br/>
        <w:t xml:space="preserve">c) cumprir a escala de monitoramento de áreas críticas e eventos programados: 10 pontos; </w:t>
      </w:r>
    </w:p>
    <w:p w14:paraId="16CFB220"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d) ausência de penalidades disciplinares no período avaliado: 20 pontos.</w:t>
      </w:r>
    </w:p>
    <w:p w14:paraId="38F131B8"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180D2D3F"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B34ABA">
        <w:rPr>
          <w:rFonts w:ascii="Times New Roman" w:eastAsia="Times New Roman" w:hAnsi="Times New Roman" w:cs="Times New Roman"/>
          <w:b/>
          <w:bCs/>
          <w:sz w:val="24"/>
          <w:szCs w:val="24"/>
        </w:rPr>
        <w:t>Art. 6º</w:t>
      </w:r>
      <w:r w:rsidRPr="00750565">
        <w:rPr>
          <w:rFonts w:ascii="Times New Roman" w:eastAsia="Times New Roman" w:hAnsi="Times New Roman" w:cs="Times New Roman"/>
          <w:sz w:val="24"/>
          <w:szCs w:val="24"/>
        </w:rPr>
        <w:t xml:space="preserve"> Para os servidores que exerçam funções administrativas, a pontuação será atribuída da seguinte forma:</w:t>
      </w:r>
    </w:p>
    <w:p w14:paraId="4C8D95B7"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6EB5606C"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I – Assiduidade e Pontualidade (30 pontos):</w:t>
      </w:r>
    </w:p>
    <w:p w14:paraId="3F41125C"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3E6A2877"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a) sem faltas injustificadas: 15 pontos;</w:t>
      </w:r>
    </w:p>
    <w:p w14:paraId="099F3D4B"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b) sem atrasos ou saídas antecipadas injustificadas: 15 pontos.</w:t>
      </w:r>
    </w:p>
    <w:p w14:paraId="3CFF147A"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20C168EF"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II – Produtividade Administrativa (70 pontos):</w:t>
      </w:r>
    </w:p>
    <w:p w14:paraId="36E35FC8"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4BDE5605"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 xml:space="preserve">a) cumprimento dos prazos dos processos sob sua responsabilidade: 30 pontos; </w:t>
      </w:r>
    </w:p>
    <w:p w14:paraId="2B96D9E8"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lastRenderedPageBreak/>
        <w:t>b) participação em projetos, programas, eventos ou ações estratégicas da Secretaria (no mínimo uma participação comprovada no mês): 20 pontos.</w:t>
      </w:r>
    </w:p>
    <w:p w14:paraId="553255D3"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c) ausência de penalidades disciplinares no período avaliado: 20 pontos.</w:t>
      </w:r>
    </w:p>
    <w:p w14:paraId="07135081"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0B0417F8"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B34ABA">
        <w:rPr>
          <w:rFonts w:ascii="Times New Roman" w:eastAsia="Times New Roman" w:hAnsi="Times New Roman" w:cs="Times New Roman"/>
          <w:b/>
          <w:bCs/>
          <w:sz w:val="24"/>
          <w:szCs w:val="24"/>
        </w:rPr>
        <w:t>Art. 7º</w:t>
      </w:r>
      <w:r w:rsidRPr="00750565">
        <w:rPr>
          <w:rFonts w:ascii="Times New Roman" w:eastAsia="Times New Roman" w:hAnsi="Times New Roman" w:cs="Times New Roman"/>
          <w:sz w:val="24"/>
          <w:szCs w:val="24"/>
        </w:rPr>
        <w:t xml:space="preserve"> Para os servidores que exerçam funções em bases da GCM, ou em postos fixos, a pontuação será atribuída da seguinte forma:</w:t>
      </w:r>
    </w:p>
    <w:p w14:paraId="371833ED"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368CD2BB"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I – Assiduidade e Pontualidade (30 pontos):</w:t>
      </w:r>
    </w:p>
    <w:p w14:paraId="537D1C49"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01B2F9E2"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a) sem faltas injustificadas: 15 pontos;</w:t>
      </w:r>
    </w:p>
    <w:p w14:paraId="4A291304"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b) sem atrasos ou saídas antecipadas injustificadas: 15 pontos.</w:t>
      </w:r>
    </w:p>
    <w:p w14:paraId="24CB57F9"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27FABBEF"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II – Produtividade Administrativa (70 pontos):</w:t>
      </w:r>
    </w:p>
    <w:p w14:paraId="59087672"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34B4DD37"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 xml:space="preserve">a) elaboração de relatórios dos relatórios de verificação do local em que estiver lotado, no prazo fixado pelas normas de serviço: 30 pontos; </w:t>
      </w:r>
    </w:p>
    <w:p w14:paraId="19974CBE"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b) participação em projetos, programas, eventos ou ações estratégicas da Secretaria (no mínimo uma participação comprovada no mês): 20 pontos.</w:t>
      </w:r>
    </w:p>
    <w:p w14:paraId="5C67CC9E"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750565">
        <w:rPr>
          <w:rFonts w:ascii="Times New Roman" w:eastAsia="Times New Roman" w:hAnsi="Times New Roman" w:cs="Times New Roman"/>
          <w:sz w:val="24"/>
          <w:szCs w:val="24"/>
        </w:rPr>
        <w:t>c) ausência de penalidades disciplinares no período avaliado: 20 pontos.</w:t>
      </w:r>
    </w:p>
    <w:p w14:paraId="1521C110"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4AF8395C"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C24BE2">
        <w:rPr>
          <w:rFonts w:ascii="Times New Roman" w:eastAsia="Times New Roman" w:hAnsi="Times New Roman" w:cs="Times New Roman"/>
          <w:b/>
          <w:bCs/>
          <w:sz w:val="24"/>
          <w:szCs w:val="24"/>
        </w:rPr>
        <w:t>Art. 8º</w:t>
      </w:r>
      <w:r w:rsidRPr="00750565">
        <w:rPr>
          <w:rFonts w:ascii="Times New Roman" w:eastAsia="Times New Roman" w:hAnsi="Times New Roman" w:cs="Times New Roman"/>
          <w:sz w:val="24"/>
          <w:szCs w:val="24"/>
        </w:rPr>
        <w:t xml:space="preserve"> Não fará jus à Gratificação por Produtividade Operacional o servidor que permanecer afastado de suas funções por período superior a 15 (quinze) dias no mês avaliado, exceto nos </w:t>
      </w:r>
      <w:r w:rsidRPr="00750565">
        <w:rPr>
          <w:rFonts w:ascii="Times New Roman" w:eastAsia="Times New Roman" w:hAnsi="Times New Roman" w:cs="Times New Roman"/>
          <w:sz w:val="24"/>
          <w:szCs w:val="24"/>
        </w:rPr>
        <w:lastRenderedPageBreak/>
        <w:t>casos de férias, licença-maternidade, licença-paternidade, acidente de trabalho, missão institucional ou outros afastamentos legalmente equiparados.</w:t>
      </w:r>
    </w:p>
    <w:p w14:paraId="2FBD6141"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0F48C47F"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C24BE2">
        <w:rPr>
          <w:rFonts w:ascii="Times New Roman" w:eastAsia="Times New Roman" w:hAnsi="Times New Roman" w:cs="Times New Roman"/>
          <w:b/>
          <w:bCs/>
          <w:sz w:val="24"/>
          <w:szCs w:val="24"/>
        </w:rPr>
        <w:t>Art. 9º</w:t>
      </w:r>
      <w:r w:rsidRPr="00750565">
        <w:rPr>
          <w:rFonts w:ascii="Times New Roman" w:eastAsia="Times New Roman" w:hAnsi="Times New Roman" w:cs="Times New Roman"/>
          <w:sz w:val="24"/>
          <w:szCs w:val="24"/>
        </w:rPr>
        <w:t xml:space="preserve"> As metas quantitativas específicas de cada indicador serão estabelecidas, anualmente, por ato do Secretário Municipal de Segurança Pública, observadas as peculiaridades operacionais de cada unidade, a disponibilidade de efetivo e os objetivos estratégicos da Administração Municipal.</w:t>
      </w:r>
    </w:p>
    <w:p w14:paraId="75A6F35B"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20D2E53E"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C24BE2">
        <w:rPr>
          <w:rFonts w:ascii="Times New Roman" w:eastAsia="Times New Roman" w:hAnsi="Times New Roman" w:cs="Times New Roman"/>
          <w:b/>
          <w:bCs/>
          <w:sz w:val="24"/>
          <w:szCs w:val="24"/>
        </w:rPr>
        <w:t>Art. 10</w:t>
      </w:r>
      <w:r w:rsidRPr="00750565">
        <w:rPr>
          <w:rFonts w:ascii="Times New Roman" w:eastAsia="Times New Roman" w:hAnsi="Times New Roman" w:cs="Times New Roman"/>
          <w:sz w:val="24"/>
          <w:szCs w:val="24"/>
        </w:rPr>
        <w:t xml:space="preserve"> A aferição dos indicadores deverá ocorrer mediante registros oficiais dos sistemas corporativos, relatórios operacionais, escalas de serviço, sistemas de monitoramento, protocolos administrativos e demais documentos passíveis de auditoria e controle.</w:t>
      </w:r>
    </w:p>
    <w:p w14:paraId="55B146AD"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0CF13BCF"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1D902953" w14:textId="77777777" w:rsidR="00750565" w:rsidRPr="00C24BE2" w:rsidRDefault="00750565" w:rsidP="00750565">
      <w:pPr>
        <w:spacing w:line="360" w:lineRule="auto"/>
        <w:jc w:val="center"/>
        <w:rPr>
          <w:rFonts w:ascii="Times New Roman" w:eastAsia="Times New Roman" w:hAnsi="Times New Roman" w:cs="Times New Roman"/>
          <w:b/>
          <w:bCs/>
          <w:sz w:val="24"/>
          <w:szCs w:val="24"/>
        </w:rPr>
      </w:pPr>
      <w:r w:rsidRPr="00C24BE2">
        <w:rPr>
          <w:rFonts w:ascii="Times New Roman" w:eastAsia="Times New Roman" w:hAnsi="Times New Roman" w:cs="Times New Roman"/>
          <w:b/>
          <w:bCs/>
          <w:sz w:val="24"/>
          <w:szCs w:val="24"/>
        </w:rPr>
        <w:t xml:space="preserve">CAPÍTULO III </w:t>
      </w:r>
    </w:p>
    <w:p w14:paraId="3E8E26AD" w14:textId="77777777" w:rsidR="00750565" w:rsidRPr="00C24BE2" w:rsidRDefault="00750565" w:rsidP="00750565">
      <w:pPr>
        <w:spacing w:line="360" w:lineRule="auto"/>
        <w:jc w:val="center"/>
        <w:rPr>
          <w:rFonts w:ascii="Times New Roman" w:eastAsia="Times New Roman" w:hAnsi="Times New Roman" w:cs="Times New Roman"/>
          <w:b/>
          <w:bCs/>
          <w:sz w:val="24"/>
          <w:szCs w:val="24"/>
        </w:rPr>
      </w:pPr>
      <w:r w:rsidRPr="00C24BE2">
        <w:rPr>
          <w:rFonts w:ascii="Times New Roman" w:eastAsia="Times New Roman" w:hAnsi="Times New Roman" w:cs="Times New Roman"/>
          <w:b/>
          <w:bCs/>
          <w:sz w:val="24"/>
          <w:szCs w:val="24"/>
        </w:rPr>
        <w:t xml:space="preserve"> DAS DISPOSIÇÕES FINAIS</w:t>
      </w:r>
    </w:p>
    <w:p w14:paraId="6E6E864C"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21230E71"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C24BE2">
        <w:rPr>
          <w:rFonts w:ascii="Times New Roman" w:eastAsia="Times New Roman" w:hAnsi="Times New Roman" w:cs="Times New Roman"/>
          <w:b/>
          <w:bCs/>
          <w:sz w:val="24"/>
          <w:szCs w:val="24"/>
        </w:rPr>
        <w:t>Art. 11</w:t>
      </w:r>
      <w:r w:rsidRPr="00750565">
        <w:rPr>
          <w:rFonts w:ascii="Times New Roman" w:eastAsia="Times New Roman" w:hAnsi="Times New Roman" w:cs="Times New Roman"/>
          <w:sz w:val="24"/>
          <w:szCs w:val="24"/>
        </w:rPr>
        <w:t xml:space="preserve"> O Poder Executivo regulamentará esta Lei Complementar no prazo de 90 (noventa) dias.</w:t>
      </w:r>
    </w:p>
    <w:p w14:paraId="58EDD034"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36593BD9"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C24BE2">
        <w:rPr>
          <w:rFonts w:ascii="Times New Roman" w:eastAsia="Times New Roman" w:hAnsi="Times New Roman" w:cs="Times New Roman"/>
          <w:b/>
          <w:bCs/>
          <w:sz w:val="24"/>
          <w:szCs w:val="24"/>
        </w:rPr>
        <w:t>Art. 12</w:t>
      </w:r>
      <w:r w:rsidRPr="00750565">
        <w:rPr>
          <w:rFonts w:ascii="Times New Roman" w:eastAsia="Times New Roman" w:hAnsi="Times New Roman" w:cs="Times New Roman"/>
          <w:sz w:val="24"/>
          <w:szCs w:val="24"/>
        </w:rPr>
        <w:t xml:space="preserve"> As despesas decorrentes desta Lei Complementar correrão por conta das dotações orçamentárias próprias.</w:t>
      </w:r>
    </w:p>
    <w:p w14:paraId="1859CF52"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48734E50"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C24BE2">
        <w:rPr>
          <w:rFonts w:ascii="Times New Roman" w:eastAsia="Times New Roman" w:hAnsi="Times New Roman" w:cs="Times New Roman"/>
          <w:b/>
          <w:bCs/>
          <w:sz w:val="24"/>
          <w:szCs w:val="24"/>
        </w:rPr>
        <w:lastRenderedPageBreak/>
        <w:t>Art. 13</w:t>
      </w:r>
      <w:r w:rsidRPr="00750565">
        <w:rPr>
          <w:rFonts w:ascii="Times New Roman" w:eastAsia="Times New Roman" w:hAnsi="Times New Roman" w:cs="Times New Roman"/>
          <w:sz w:val="24"/>
          <w:szCs w:val="24"/>
        </w:rPr>
        <w:t xml:space="preserve"> Nos termos da decisão proferida na ADI 2378054-96.2025.8.26.0000, revogam-se os dispositivos previstos no art. 13, II, 14, 15 e 16 da Lei Complementar nº 98 de 20 de abril 2018. </w:t>
      </w:r>
    </w:p>
    <w:p w14:paraId="0A901E85" w14:textId="77777777" w:rsidR="00750565" w:rsidRPr="00750565" w:rsidRDefault="00750565" w:rsidP="00750565">
      <w:pPr>
        <w:spacing w:line="360" w:lineRule="auto"/>
        <w:jc w:val="both"/>
        <w:rPr>
          <w:rFonts w:ascii="Times New Roman" w:eastAsia="Times New Roman" w:hAnsi="Times New Roman" w:cs="Times New Roman"/>
          <w:sz w:val="24"/>
          <w:szCs w:val="24"/>
        </w:rPr>
      </w:pPr>
    </w:p>
    <w:p w14:paraId="55EF846B" w14:textId="77777777" w:rsidR="00750565" w:rsidRPr="00750565" w:rsidRDefault="00750565" w:rsidP="00750565">
      <w:pPr>
        <w:spacing w:line="360" w:lineRule="auto"/>
        <w:jc w:val="both"/>
        <w:rPr>
          <w:rFonts w:ascii="Times New Roman" w:eastAsia="Times New Roman" w:hAnsi="Times New Roman" w:cs="Times New Roman"/>
          <w:sz w:val="24"/>
          <w:szCs w:val="24"/>
        </w:rPr>
      </w:pPr>
      <w:r w:rsidRPr="00C24BE2">
        <w:rPr>
          <w:rFonts w:ascii="Times New Roman" w:eastAsia="Times New Roman" w:hAnsi="Times New Roman" w:cs="Times New Roman"/>
          <w:b/>
          <w:bCs/>
          <w:sz w:val="24"/>
          <w:szCs w:val="24"/>
        </w:rPr>
        <w:t>Art. 14</w:t>
      </w:r>
      <w:r w:rsidRPr="00750565">
        <w:rPr>
          <w:rFonts w:ascii="Times New Roman" w:eastAsia="Times New Roman" w:hAnsi="Times New Roman" w:cs="Times New Roman"/>
          <w:sz w:val="24"/>
          <w:szCs w:val="24"/>
        </w:rPr>
        <w:t xml:space="preserve"> Esta Lei Complementar entra em vigor na data de sua publicação.</w:t>
      </w:r>
    </w:p>
    <w:p w14:paraId="4609AA49" w14:textId="77777777" w:rsidR="00BD35B4" w:rsidRPr="00750565" w:rsidRDefault="00BD35B4" w:rsidP="00BD35B4">
      <w:pPr>
        <w:autoSpaceDE w:val="0"/>
        <w:autoSpaceDN w:val="0"/>
        <w:adjustRightInd w:val="0"/>
        <w:spacing w:after="0" w:line="360" w:lineRule="auto"/>
        <w:jc w:val="both"/>
        <w:rPr>
          <w:rFonts w:ascii="Times New Roman" w:eastAsia="Times New Roman" w:hAnsi="Times New Roman" w:cs="Times New Roman"/>
          <w:sz w:val="24"/>
          <w:szCs w:val="24"/>
        </w:rPr>
      </w:pPr>
    </w:p>
    <w:p w14:paraId="6653C351" w14:textId="1F45914E" w:rsidR="00E06A66" w:rsidRPr="001278C3" w:rsidRDefault="0078486B" w:rsidP="00200C80">
      <w:pPr>
        <w:tabs>
          <w:tab w:val="left" w:pos="975"/>
        </w:tabs>
        <w:spacing w:line="360" w:lineRule="auto"/>
        <w:jc w:val="both"/>
        <w:rPr>
          <w:rFonts w:ascii="Times New Roman" w:eastAsia="Lucida Sans Unicode" w:hAnsi="Times New Roman" w:cs="Times New Roman"/>
          <w:kern w:val="2"/>
          <w:sz w:val="24"/>
          <w:szCs w:val="24"/>
          <w:lang w:bidi="hi-IN"/>
        </w:rPr>
      </w:pPr>
      <w:r w:rsidRPr="001278C3">
        <w:rPr>
          <w:rFonts w:ascii="Times New Roman" w:eastAsia="Lucida Sans Unicode" w:hAnsi="Times New Roman" w:cs="Times New Roman"/>
          <w:bCs/>
          <w:kern w:val="2"/>
          <w:sz w:val="24"/>
          <w:szCs w:val="24"/>
          <w:lang w:bidi="hi-IN"/>
        </w:rPr>
        <w:t xml:space="preserve">Câmara Municipal de Itapevi, </w:t>
      </w:r>
      <w:r w:rsidR="00C24BE2">
        <w:rPr>
          <w:rFonts w:ascii="Times New Roman" w:eastAsia="Lucida Sans Unicode" w:hAnsi="Times New Roman" w:cs="Times New Roman"/>
          <w:bCs/>
          <w:kern w:val="2"/>
          <w:sz w:val="24"/>
          <w:szCs w:val="24"/>
          <w:lang w:bidi="hi-IN"/>
        </w:rPr>
        <w:t>30</w:t>
      </w:r>
      <w:r w:rsidR="005B2B6F">
        <w:rPr>
          <w:rFonts w:ascii="Times New Roman" w:eastAsia="Lucida Sans Unicode" w:hAnsi="Times New Roman" w:cs="Times New Roman"/>
          <w:bCs/>
          <w:kern w:val="2"/>
          <w:sz w:val="24"/>
          <w:szCs w:val="24"/>
          <w:lang w:bidi="hi-IN"/>
        </w:rPr>
        <w:t xml:space="preserve"> de junho</w:t>
      </w:r>
      <w:r w:rsidR="001278C3">
        <w:rPr>
          <w:rFonts w:ascii="Times New Roman" w:eastAsia="Lucida Sans Unicode" w:hAnsi="Times New Roman" w:cs="Times New Roman"/>
          <w:bCs/>
          <w:kern w:val="2"/>
          <w:sz w:val="24"/>
          <w:szCs w:val="24"/>
          <w:lang w:bidi="hi-IN"/>
        </w:rPr>
        <w:t xml:space="preserve"> de 2026</w:t>
      </w:r>
      <w:r w:rsidR="00314CA1">
        <w:rPr>
          <w:rFonts w:ascii="Times New Roman" w:eastAsia="Lucida Sans Unicode" w:hAnsi="Times New Roman" w:cs="Times New Roman"/>
          <w:bCs/>
          <w:kern w:val="2"/>
          <w:sz w:val="24"/>
          <w:szCs w:val="24"/>
          <w:lang w:bidi="hi-IN"/>
        </w:rPr>
        <w:t>.</w:t>
      </w:r>
    </w:p>
    <w:p w14:paraId="491E0891" w14:textId="474D710A" w:rsidR="001278C3" w:rsidRPr="001278C3" w:rsidRDefault="00405525" w:rsidP="00BA02FF">
      <w:pPr>
        <w:pStyle w:val="Corpodetexto"/>
        <w:spacing w:line="276" w:lineRule="auto"/>
        <w:rPr>
          <w:rFonts w:ascii="Times New Roman" w:eastAsia="Calibri" w:hAnsi="Times New Roman"/>
          <w:szCs w:val="24"/>
        </w:rPr>
      </w:pPr>
      <w:r w:rsidRPr="001278C3">
        <w:rPr>
          <w:rFonts w:ascii="Times New Roman" w:eastAsia="Calibri" w:hAnsi="Times New Roman"/>
          <w:noProof/>
          <w:szCs w:val="24"/>
        </w:rPr>
        <w:drawing>
          <wp:anchor distT="0" distB="0" distL="114300" distR="114300" simplePos="0" relativeHeight="251659264" behindDoc="1" locked="0" layoutInCell="1" allowOverlap="1" wp14:anchorId="65B13C68" wp14:editId="76E60DFA">
            <wp:simplePos x="0" y="0"/>
            <wp:positionH relativeFrom="column">
              <wp:posOffset>34291</wp:posOffset>
            </wp:positionH>
            <wp:positionV relativeFrom="paragraph">
              <wp:posOffset>12066</wp:posOffset>
            </wp:positionV>
            <wp:extent cx="4991100" cy="963474"/>
            <wp:effectExtent l="0" t="0" r="0" b="0"/>
            <wp:wrapNone/>
            <wp:docPr id="7" name="Imagem 7"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or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70" cy="965321"/>
                    </a:xfrm>
                    <a:prstGeom prst="rect">
                      <a:avLst/>
                    </a:prstGeom>
                    <a:noFill/>
                  </pic:spPr>
                </pic:pic>
              </a:graphicData>
            </a:graphic>
            <wp14:sizeRelH relativeFrom="page">
              <wp14:pctWidth>0</wp14:pctWidth>
            </wp14:sizeRelH>
            <wp14:sizeRelV relativeFrom="page">
              <wp14:pctHeight>0</wp14:pctHeight>
            </wp14:sizeRelV>
          </wp:anchor>
        </w:drawing>
      </w:r>
    </w:p>
    <w:p w14:paraId="203B7D57" w14:textId="77777777" w:rsidR="001278C3" w:rsidRPr="001278C3" w:rsidRDefault="001278C3" w:rsidP="001278C3">
      <w:pPr>
        <w:pStyle w:val="Corpodetexto"/>
        <w:spacing w:line="276" w:lineRule="auto"/>
        <w:jc w:val="center"/>
        <w:rPr>
          <w:rFonts w:ascii="Times New Roman" w:eastAsia="Calibri" w:hAnsi="Times New Roman"/>
          <w:szCs w:val="24"/>
        </w:rPr>
      </w:pPr>
    </w:p>
    <w:p w14:paraId="3C188DC2" w14:textId="77777777" w:rsidR="001278C3" w:rsidRPr="001278C3" w:rsidRDefault="001278C3" w:rsidP="001278C3">
      <w:pPr>
        <w:pStyle w:val="Corpodetexto"/>
        <w:tabs>
          <w:tab w:val="left" w:pos="6195"/>
        </w:tabs>
        <w:spacing w:line="276" w:lineRule="auto"/>
        <w:rPr>
          <w:rFonts w:ascii="Times New Roman" w:eastAsia="Calibri" w:hAnsi="Times New Roman"/>
          <w:b/>
          <w:szCs w:val="24"/>
        </w:rPr>
      </w:pPr>
    </w:p>
    <w:p w14:paraId="3453EAC1" w14:textId="77777777" w:rsidR="001278C3" w:rsidRPr="001278C3" w:rsidRDefault="001278C3" w:rsidP="001278C3">
      <w:pPr>
        <w:pStyle w:val="Corpodetexto"/>
        <w:tabs>
          <w:tab w:val="left" w:pos="6195"/>
        </w:tabs>
        <w:spacing w:line="276" w:lineRule="auto"/>
        <w:rPr>
          <w:rFonts w:ascii="Times New Roman" w:eastAsia="Calibri" w:hAnsi="Times New Roman"/>
          <w:b/>
          <w:szCs w:val="24"/>
        </w:rPr>
      </w:pPr>
    </w:p>
    <w:p w14:paraId="25444434" w14:textId="1503229F" w:rsidR="001278C3" w:rsidRPr="001278C3" w:rsidRDefault="001278C3" w:rsidP="001278C3">
      <w:pPr>
        <w:pStyle w:val="Corpodetexto"/>
        <w:tabs>
          <w:tab w:val="left" w:pos="6195"/>
        </w:tabs>
        <w:spacing w:line="276" w:lineRule="auto"/>
        <w:rPr>
          <w:rFonts w:ascii="Times New Roman" w:eastAsia="Calibri" w:hAnsi="Times New Roman"/>
          <w:b/>
          <w:szCs w:val="24"/>
        </w:rPr>
      </w:pPr>
      <w:r w:rsidRPr="001278C3">
        <w:rPr>
          <w:rFonts w:ascii="Times New Roman" w:eastAsia="Calibri" w:hAnsi="Times New Roman"/>
          <w:b/>
          <w:szCs w:val="24"/>
        </w:rPr>
        <w:t>Rafael Alan de Moraes Romeiros</w:t>
      </w:r>
      <w:r w:rsidRPr="001278C3">
        <w:rPr>
          <w:rFonts w:ascii="Times New Roman" w:eastAsia="Calibri" w:hAnsi="Times New Roman"/>
          <w:b/>
          <w:szCs w:val="24"/>
        </w:rPr>
        <w:tab/>
        <w:t>Mauricio Alonso Murakami</w:t>
      </w:r>
    </w:p>
    <w:p w14:paraId="6FB7A477" w14:textId="0E46D54F" w:rsidR="00D56BE7" w:rsidRPr="00665690" w:rsidRDefault="001278C3" w:rsidP="00665690">
      <w:pPr>
        <w:pStyle w:val="Corpodetexto"/>
        <w:tabs>
          <w:tab w:val="left" w:pos="7560"/>
        </w:tabs>
        <w:spacing w:line="276" w:lineRule="auto"/>
        <w:rPr>
          <w:rFonts w:ascii="Times New Roman" w:eastAsia="Calibri" w:hAnsi="Times New Roman"/>
          <w:b/>
          <w:szCs w:val="24"/>
        </w:rPr>
      </w:pPr>
      <w:r w:rsidRPr="001278C3">
        <w:rPr>
          <w:rFonts w:ascii="Times New Roman" w:eastAsia="Calibri" w:hAnsi="Times New Roman"/>
          <w:b/>
          <w:szCs w:val="24"/>
        </w:rPr>
        <w:t xml:space="preserve">              Presidente</w:t>
      </w:r>
      <w:r w:rsidRPr="001278C3">
        <w:rPr>
          <w:rFonts w:ascii="Times New Roman" w:eastAsia="Calibri" w:hAnsi="Times New Roman"/>
          <w:szCs w:val="24"/>
        </w:rPr>
        <w:t xml:space="preserve">                                                                          </w:t>
      </w:r>
      <w:r w:rsidRPr="001278C3">
        <w:rPr>
          <w:rFonts w:ascii="Times New Roman" w:eastAsia="Calibri" w:hAnsi="Times New Roman"/>
          <w:b/>
          <w:szCs w:val="24"/>
        </w:rPr>
        <w:t xml:space="preserve">   1º Secretário</w:t>
      </w:r>
      <w:r w:rsidRPr="001278C3">
        <w:rPr>
          <w:rFonts w:ascii="Times New Roman" w:eastAsia="Courier New" w:hAnsi="Times New Roman"/>
          <w:b/>
          <w:bCs/>
          <w:color w:val="000000"/>
          <w:szCs w:val="24"/>
        </w:rPr>
        <w:tab/>
      </w:r>
    </w:p>
    <w:sectPr w:rsidR="00D56BE7" w:rsidRPr="00665690" w:rsidSect="00123DD0">
      <w:headerReference w:type="even" r:id="rId9"/>
      <w:headerReference w:type="default" r:id="rId10"/>
      <w:footerReference w:type="even" r:id="rId11"/>
      <w:footerReference w:type="default" r:id="rId12"/>
      <w:headerReference w:type="first" r:id="rId13"/>
      <w:footerReference w:type="first" r:id="rId14"/>
      <w:pgSz w:w="11906" w:h="16838"/>
      <w:pgMar w:top="2552"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CB043" w14:textId="77777777" w:rsidR="00AD55E6" w:rsidRDefault="00AD55E6" w:rsidP="004B11B6">
      <w:pPr>
        <w:spacing w:after="0" w:line="240" w:lineRule="auto"/>
      </w:pPr>
      <w:r>
        <w:separator/>
      </w:r>
    </w:p>
  </w:endnote>
  <w:endnote w:type="continuationSeparator" w:id="0">
    <w:p w14:paraId="7CD59F90" w14:textId="77777777" w:rsidR="00AD55E6" w:rsidRDefault="00AD55E6"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6614" w14:textId="77777777" w:rsidR="007D181E" w:rsidRDefault="007D181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08BD" w14:textId="77777777" w:rsidR="007D181E" w:rsidRPr="00F534EC" w:rsidRDefault="00000000"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007D181E" w:rsidRPr="00F534EC">
          <w:rPr>
            <w:rFonts w:ascii="Times New Roman" w:hAnsi="Times New Roman" w:cs="Times New Roman"/>
          </w:rPr>
          <w:t xml:space="preserve">Página </w:t>
        </w:r>
        <w:r w:rsidR="007D181E" w:rsidRPr="00F534EC">
          <w:rPr>
            <w:rFonts w:ascii="Times New Roman" w:hAnsi="Times New Roman" w:cs="Times New Roman"/>
          </w:rPr>
          <w:fldChar w:fldCharType="begin"/>
        </w:r>
        <w:r w:rsidR="007D181E" w:rsidRPr="00F534EC">
          <w:rPr>
            <w:rFonts w:ascii="Times New Roman" w:hAnsi="Times New Roman" w:cs="Times New Roman"/>
          </w:rPr>
          <w:instrText>PAGE   \* MERGEFORMAT</w:instrText>
        </w:r>
        <w:r w:rsidR="007D181E" w:rsidRPr="00F534EC">
          <w:rPr>
            <w:rFonts w:ascii="Times New Roman" w:hAnsi="Times New Roman" w:cs="Times New Roman"/>
          </w:rPr>
          <w:fldChar w:fldCharType="separate"/>
        </w:r>
        <w:r w:rsidR="00C8206F">
          <w:rPr>
            <w:rFonts w:ascii="Times New Roman" w:hAnsi="Times New Roman" w:cs="Times New Roman"/>
            <w:noProof/>
          </w:rPr>
          <w:t>1</w:t>
        </w:r>
        <w:r w:rsidR="007D181E" w:rsidRPr="00F534EC">
          <w:rPr>
            <w:rFonts w:ascii="Times New Roman" w:hAnsi="Times New Roman" w:cs="Times New Roman"/>
          </w:rPr>
          <w:fldChar w:fldCharType="end"/>
        </w:r>
      </w:sdtContent>
    </w:sdt>
    <w:r w:rsidR="007D181E" w:rsidRPr="00F534EC">
      <w:rPr>
        <w:rFonts w:ascii="Times New Roman" w:hAnsi="Times New Roman" w:cs="Times New Roman"/>
      </w:rPr>
      <w:t xml:space="preserve"> de 1</w:t>
    </w:r>
  </w:p>
  <w:p w14:paraId="725F1C4A" w14:textId="77777777" w:rsidR="007D181E" w:rsidRDefault="007D181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DD82" w14:textId="77777777" w:rsidR="007D181E" w:rsidRDefault="007D18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CDA57" w14:textId="77777777" w:rsidR="00AD55E6" w:rsidRDefault="00AD55E6" w:rsidP="004B11B6">
      <w:pPr>
        <w:spacing w:after="0" w:line="240" w:lineRule="auto"/>
      </w:pPr>
      <w:r>
        <w:separator/>
      </w:r>
    </w:p>
  </w:footnote>
  <w:footnote w:type="continuationSeparator" w:id="0">
    <w:p w14:paraId="44F83517" w14:textId="77777777" w:rsidR="00AD55E6" w:rsidRDefault="00AD55E6"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DA15" w14:textId="77777777" w:rsidR="007D181E" w:rsidRDefault="00000000">
    <w:pPr>
      <w:pStyle w:val="Cabealho"/>
    </w:pPr>
    <w:r>
      <w:rPr>
        <w:noProof/>
      </w:rPr>
      <w:pict w14:anchorId="68D3C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1030"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253E" w14:textId="77777777" w:rsidR="007D181E" w:rsidRDefault="00000000">
    <w:pPr>
      <w:pStyle w:val="Cabealho"/>
    </w:pPr>
    <w:r>
      <w:rPr>
        <w:noProof/>
      </w:rPr>
      <w:pict w14:anchorId="1ECE1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1031"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2A26" w14:textId="77777777" w:rsidR="007D181E" w:rsidRDefault="00000000">
    <w:pPr>
      <w:pStyle w:val="Cabealho"/>
    </w:pPr>
    <w:r>
      <w:rPr>
        <w:noProof/>
      </w:rPr>
      <w:pict w14:anchorId="62B4B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1029"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417"/>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ABF6C24"/>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34106"/>
    <w:multiLevelType w:val="hybridMultilevel"/>
    <w:tmpl w:val="C88083FC"/>
    <w:lvl w:ilvl="0" w:tplc="9E464F98">
      <w:start w:val="1"/>
      <w:numFmt w:val="upperRoman"/>
      <w:suff w:val="space"/>
      <w:lvlText w:val="%1 - "/>
      <w:lvlJc w:val="left"/>
      <w:pPr>
        <w:ind w:left="717"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CB36034"/>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76E22"/>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13937"/>
    <w:multiLevelType w:val="hybridMultilevel"/>
    <w:tmpl w:val="7FD814CE"/>
    <w:lvl w:ilvl="0" w:tplc="FFD4F176">
      <w:start w:val="1"/>
      <w:numFmt w:val="upperRoman"/>
      <w:lvlText w:val="%1 - "/>
      <w:lvlJc w:val="left"/>
      <w:pPr>
        <w:ind w:left="288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9E81DD8"/>
    <w:multiLevelType w:val="hybridMultilevel"/>
    <w:tmpl w:val="5C1AE2CC"/>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330D87"/>
    <w:multiLevelType w:val="hybridMultilevel"/>
    <w:tmpl w:val="BE381A8E"/>
    <w:lvl w:ilvl="0" w:tplc="2BC696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24B60778"/>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78848BE"/>
    <w:multiLevelType w:val="hybridMultilevel"/>
    <w:tmpl w:val="101C4D80"/>
    <w:lvl w:ilvl="0" w:tplc="4836CEE0">
      <w:start w:val="1"/>
      <w:numFmt w:val="lowerLetter"/>
      <w:lvlText w:val="%1)"/>
      <w:lvlJc w:val="left"/>
      <w:pPr>
        <w:ind w:left="144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8375C7D"/>
    <w:multiLevelType w:val="hybridMultilevel"/>
    <w:tmpl w:val="5C1AE2CC"/>
    <w:lvl w:ilvl="0" w:tplc="0E90F226">
      <w:start w:val="1"/>
      <w:numFmt w:val="upperRoman"/>
      <w:lvlText w:val="%1 - "/>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547A2685"/>
    <w:multiLevelType w:val="hybridMultilevel"/>
    <w:tmpl w:val="C53C3A08"/>
    <w:lvl w:ilvl="0" w:tplc="E28495F2">
      <w:start w:val="1"/>
      <w:numFmt w:val="upperRoman"/>
      <w:lvlText w:val="%1-"/>
      <w:lvlJc w:val="left"/>
      <w:pPr>
        <w:ind w:left="360" w:hanging="360"/>
      </w:pPr>
      <w:rPr>
        <w:b/>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4" w15:restartNumberingAfterBreak="0">
    <w:nsid w:val="586D160F"/>
    <w:multiLevelType w:val="hybridMultilevel"/>
    <w:tmpl w:val="79567BAE"/>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5E5C00"/>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677D7805"/>
    <w:multiLevelType w:val="hybridMultilevel"/>
    <w:tmpl w:val="79567BAE"/>
    <w:lvl w:ilvl="0" w:tplc="0E90F226">
      <w:start w:val="1"/>
      <w:numFmt w:val="upperRoman"/>
      <w:lvlText w:val="%1 - "/>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B171AE5"/>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D8E2CD8"/>
    <w:multiLevelType w:val="hybridMultilevel"/>
    <w:tmpl w:val="1EBA161A"/>
    <w:lvl w:ilvl="0" w:tplc="0409000F">
      <w:start w:val="1"/>
      <w:numFmt w:val="decimal"/>
      <w:pStyle w:val="Inciso"/>
      <w:lvlText w:val="%1."/>
      <w:lvlJc w:val="left"/>
      <w:pPr>
        <w:ind w:left="360" w:hanging="360"/>
      </w:pPr>
      <w:rPr>
        <w:rFonts w:hint="default"/>
        <w:b/>
        <w:i w:val="0"/>
        <w:sz w:val="22"/>
      </w:rPr>
    </w:lvl>
    <w:lvl w:ilvl="1" w:tplc="04160019">
      <w:start w:val="1"/>
      <w:numFmt w:val="lowerLetter"/>
      <w:lvlText w:val="%2."/>
      <w:lvlJc w:val="left"/>
      <w:pPr>
        <w:tabs>
          <w:tab w:val="num" w:pos="1014"/>
        </w:tabs>
        <w:ind w:left="1014" w:hanging="360"/>
      </w:pPr>
    </w:lvl>
    <w:lvl w:ilvl="2" w:tplc="0416001B">
      <w:start w:val="1"/>
      <w:numFmt w:val="lowerRoman"/>
      <w:lvlText w:val="%3."/>
      <w:lvlJc w:val="right"/>
      <w:pPr>
        <w:tabs>
          <w:tab w:val="num" w:pos="1734"/>
        </w:tabs>
        <w:ind w:left="1734" w:hanging="180"/>
      </w:pPr>
    </w:lvl>
    <w:lvl w:ilvl="3" w:tplc="0416000F" w:tentative="1">
      <w:start w:val="1"/>
      <w:numFmt w:val="decimal"/>
      <w:lvlText w:val="%4."/>
      <w:lvlJc w:val="left"/>
      <w:pPr>
        <w:tabs>
          <w:tab w:val="num" w:pos="2454"/>
        </w:tabs>
        <w:ind w:left="2454" w:hanging="360"/>
      </w:pPr>
    </w:lvl>
    <w:lvl w:ilvl="4" w:tplc="04160019" w:tentative="1">
      <w:start w:val="1"/>
      <w:numFmt w:val="lowerLetter"/>
      <w:lvlText w:val="%5."/>
      <w:lvlJc w:val="left"/>
      <w:pPr>
        <w:tabs>
          <w:tab w:val="num" w:pos="3174"/>
        </w:tabs>
        <w:ind w:left="3174" w:hanging="360"/>
      </w:pPr>
    </w:lvl>
    <w:lvl w:ilvl="5" w:tplc="0416001B" w:tentative="1">
      <w:start w:val="1"/>
      <w:numFmt w:val="lowerRoman"/>
      <w:lvlText w:val="%6."/>
      <w:lvlJc w:val="right"/>
      <w:pPr>
        <w:tabs>
          <w:tab w:val="num" w:pos="3894"/>
        </w:tabs>
        <w:ind w:left="3894" w:hanging="180"/>
      </w:pPr>
    </w:lvl>
    <w:lvl w:ilvl="6" w:tplc="0416000F" w:tentative="1">
      <w:start w:val="1"/>
      <w:numFmt w:val="decimal"/>
      <w:lvlText w:val="%7."/>
      <w:lvlJc w:val="left"/>
      <w:pPr>
        <w:tabs>
          <w:tab w:val="num" w:pos="4614"/>
        </w:tabs>
        <w:ind w:left="4614" w:hanging="360"/>
      </w:pPr>
    </w:lvl>
    <w:lvl w:ilvl="7" w:tplc="04160019" w:tentative="1">
      <w:start w:val="1"/>
      <w:numFmt w:val="lowerLetter"/>
      <w:lvlText w:val="%8."/>
      <w:lvlJc w:val="left"/>
      <w:pPr>
        <w:tabs>
          <w:tab w:val="num" w:pos="5334"/>
        </w:tabs>
        <w:ind w:left="5334" w:hanging="360"/>
      </w:pPr>
    </w:lvl>
    <w:lvl w:ilvl="8" w:tplc="0416001B" w:tentative="1">
      <w:start w:val="1"/>
      <w:numFmt w:val="lowerRoman"/>
      <w:lvlText w:val="%9."/>
      <w:lvlJc w:val="right"/>
      <w:pPr>
        <w:tabs>
          <w:tab w:val="num" w:pos="6054"/>
        </w:tabs>
        <w:ind w:left="6054" w:hanging="180"/>
      </w:pPr>
    </w:lvl>
  </w:abstractNum>
  <w:abstractNum w:abstractNumId="19" w15:restartNumberingAfterBreak="0">
    <w:nsid w:val="78DC59C4"/>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8EC370E"/>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9365516"/>
    <w:multiLevelType w:val="hybridMultilevel"/>
    <w:tmpl w:val="1A1AB80C"/>
    <w:lvl w:ilvl="0" w:tplc="7A605506">
      <w:start w:val="1"/>
      <w:numFmt w:val="upperRoman"/>
      <w:suff w:val="space"/>
      <w:lvlText w:val="%1 -"/>
      <w:lvlJc w:val="left"/>
      <w:pPr>
        <w:ind w:left="717"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7CE075C8"/>
    <w:multiLevelType w:val="hybridMultilevel"/>
    <w:tmpl w:val="8D00DB9A"/>
    <w:lvl w:ilvl="0" w:tplc="0416000B">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23" w15:restartNumberingAfterBreak="0">
    <w:nsid w:val="7E5268BC"/>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1914580475">
    <w:abstractNumId w:val="8"/>
  </w:num>
  <w:num w:numId="2" w16cid:durableId="2007974782">
    <w:abstractNumId w:val="12"/>
  </w:num>
  <w:num w:numId="3" w16cid:durableId="372966706">
    <w:abstractNumId w:val="22"/>
  </w:num>
  <w:num w:numId="4" w16cid:durableId="1622567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539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4928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3908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7713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71365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7510402">
    <w:abstractNumId w:val="6"/>
  </w:num>
  <w:num w:numId="11" w16cid:durableId="905146915">
    <w:abstractNumId w:val="20"/>
  </w:num>
  <w:num w:numId="12" w16cid:durableId="1673755095">
    <w:abstractNumId w:val="1"/>
  </w:num>
  <w:num w:numId="13" w16cid:durableId="1031295983">
    <w:abstractNumId w:val="18"/>
  </w:num>
  <w:num w:numId="14" w16cid:durableId="169217688">
    <w:abstractNumId w:val="3"/>
  </w:num>
  <w:num w:numId="15" w16cid:durableId="603459030">
    <w:abstractNumId w:val="16"/>
  </w:num>
  <w:num w:numId="16" w16cid:durableId="1673601300">
    <w:abstractNumId w:val="0"/>
  </w:num>
  <w:num w:numId="17" w16cid:durableId="1103380021">
    <w:abstractNumId w:val="11"/>
  </w:num>
  <w:num w:numId="18" w16cid:durableId="848834876">
    <w:abstractNumId w:val="17"/>
  </w:num>
  <w:num w:numId="19" w16cid:durableId="1236940368">
    <w:abstractNumId w:val="19"/>
  </w:num>
  <w:num w:numId="20" w16cid:durableId="2123305484">
    <w:abstractNumId w:val="15"/>
  </w:num>
  <w:num w:numId="21" w16cid:durableId="1531649162">
    <w:abstractNumId w:val="10"/>
  </w:num>
  <w:num w:numId="22" w16cid:durableId="928196351">
    <w:abstractNumId w:val="4"/>
  </w:num>
  <w:num w:numId="23" w16cid:durableId="1251161682">
    <w:abstractNumId w:val="23"/>
  </w:num>
  <w:num w:numId="24" w16cid:durableId="255597993">
    <w:abstractNumId w:val="14"/>
  </w:num>
  <w:num w:numId="25" w16cid:durableId="15611354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05BB5"/>
    <w:rsid w:val="000109E6"/>
    <w:rsid w:val="000160F3"/>
    <w:rsid w:val="000410EF"/>
    <w:rsid w:val="00045EA2"/>
    <w:rsid w:val="00047751"/>
    <w:rsid w:val="00054CE1"/>
    <w:rsid w:val="0006328E"/>
    <w:rsid w:val="00063EB6"/>
    <w:rsid w:val="0007088A"/>
    <w:rsid w:val="00074A8F"/>
    <w:rsid w:val="000814EF"/>
    <w:rsid w:val="00084634"/>
    <w:rsid w:val="000920BE"/>
    <w:rsid w:val="000D187C"/>
    <w:rsid w:val="000D2F0C"/>
    <w:rsid w:val="000E1A07"/>
    <w:rsid w:val="000E61D6"/>
    <w:rsid w:val="000F69EF"/>
    <w:rsid w:val="00116550"/>
    <w:rsid w:val="00117524"/>
    <w:rsid w:val="001207F6"/>
    <w:rsid w:val="00123DD0"/>
    <w:rsid w:val="001278C3"/>
    <w:rsid w:val="001354B6"/>
    <w:rsid w:val="0013610F"/>
    <w:rsid w:val="001377FE"/>
    <w:rsid w:val="00152AE5"/>
    <w:rsid w:val="00164371"/>
    <w:rsid w:val="00167C86"/>
    <w:rsid w:val="00172AAA"/>
    <w:rsid w:val="00182331"/>
    <w:rsid w:val="0019183A"/>
    <w:rsid w:val="001918C3"/>
    <w:rsid w:val="00191CAB"/>
    <w:rsid w:val="00192BC5"/>
    <w:rsid w:val="001A2606"/>
    <w:rsid w:val="001A6081"/>
    <w:rsid w:val="001B37A8"/>
    <w:rsid w:val="001C3963"/>
    <w:rsid w:val="001C5BE8"/>
    <w:rsid w:val="001C5C64"/>
    <w:rsid w:val="001D2D11"/>
    <w:rsid w:val="001D483C"/>
    <w:rsid w:val="001D510A"/>
    <w:rsid w:val="001E24A1"/>
    <w:rsid w:val="001F30FA"/>
    <w:rsid w:val="001F4475"/>
    <w:rsid w:val="001F6705"/>
    <w:rsid w:val="001F71E0"/>
    <w:rsid w:val="00200C80"/>
    <w:rsid w:val="00224B5F"/>
    <w:rsid w:val="00224FB1"/>
    <w:rsid w:val="00225A5C"/>
    <w:rsid w:val="002311FF"/>
    <w:rsid w:val="002354DE"/>
    <w:rsid w:val="002365AF"/>
    <w:rsid w:val="00236C29"/>
    <w:rsid w:val="00246922"/>
    <w:rsid w:val="002502E7"/>
    <w:rsid w:val="00254154"/>
    <w:rsid w:val="002546E4"/>
    <w:rsid w:val="002655B7"/>
    <w:rsid w:val="002700CD"/>
    <w:rsid w:val="002709D2"/>
    <w:rsid w:val="002757F4"/>
    <w:rsid w:val="0027691C"/>
    <w:rsid w:val="00280002"/>
    <w:rsid w:val="00281286"/>
    <w:rsid w:val="0028259C"/>
    <w:rsid w:val="0028285F"/>
    <w:rsid w:val="00292BD2"/>
    <w:rsid w:val="00292C12"/>
    <w:rsid w:val="002961F6"/>
    <w:rsid w:val="002A0D4C"/>
    <w:rsid w:val="002A26DB"/>
    <w:rsid w:val="002A59D2"/>
    <w:rsid w:val="002B0C80"/>
    <w:rsid w:val="002C2A63"/>
    <w:rsid w:val="002C7B83"/>
    <w:rsid w:val="002D0AE8"/>
    <w:rsid w:val="002D52B9"/>
    <w:rsid w:val="002E6D4A"/>
    <w:rsid w:val="002F7431"/>
    <w:rsid w:val="00300895"/>
    <w:rsid w:val="00302C30"/>
    <w:rsid w:val="0030406B"/>
    <w:rsid w:val="003057E1"/>
    <w:rsid w:val="00305FE0"/>
    <w:rsid w:val="003122CA"/>
    <w:rsid w:val="00314CA1"/>
    <w:rsid w:val="003209C7"/>
    <w:rsid w:val="003225EC"/>
    <w:rsid w:val="00344166"/>
    <w:rsid w:val="003475A3"/>
    <w:rsid w:val="00354DDB"/>
    <w:rsid w:val="003565C3"/>
    <w:rsid w:val="00366DCA"/>
    <w:rsid w:val="003722F8"/>
    <w:rsid w:val="00373596"/>
    <w:rsid w:val="003739E1"/>
    <w:rsid w:val="00376AD3"/>
    <w:rsid w:val="00380D74"/>
    <w:rsid w:val="00387994"/>
    <w:rsid w:val="00393950"/>
    <w:rsid w:val="0039651E"/>
    <w:rsid w:val="003A0CFC"/>
    <w:rsid w:val="003A2D44"/>
    <w:rsid w:val="003A5FC0"/>
    <w:rsid w:val="003C04C7"/>
    <w:rsid w:val="003D7A12"/>
    <w:rsid w:val="003E0CD0"/>
    <w:rsid w:val="003F651E"/>
    <w:rsid w:val="00405525"/>
    <w:rsid w:val="004143A6"/>
    <w:rsid w:val="00425BA4"/>
    <w:rsid w:val="00426C62"/>
    <w:rsid w:val="00430833"/>
    <w:rsid w:val="0043149E"/>
    <w:rsid w:val="0043356F"/>
    <w:rsid w:val="00437E26"/>
    <w:rsid w:val="00440369"/>
    <w:rsid w:val="0045039F"/>
    <w:rsid w:val="00451AEE"/>
    <w:rsid w:val="00455444"/>
    <w:rsid w:val="004620B6"/>
    <w:rsid w:val="0046563F"/>
    <w:rsid w:val="00473DF7"/>
    <w:rsid w:val="004743EA"/>
    <w:rsid w:val="004761D0"/>
    <w:rsid w:val="00480529"/>
    <w:rsid w:val="00486882"/>
    <w:rsid w:val="00491B2D"/>
    <w:rsid w:val="00496663"/>
    <w:rsid w:val="00496C73"/>
    <w:rsid w:val="004B11B6"/>
    <w:rsid w:val="004D52A7"/>
    <w:rsid w:val="004D761C"/>
    <w:rsid w:val="004D7F51"/>
    <w:rsid w:val="004E2A59"/>
    <w:rsid w:val="004F516C"/>
    <w:rsid w:val="004F59E3"/>
    <w:rsid w:val="0051150E"/>
    <w:rsid w:val="005168CB"/>
    <w:rsid w:val="00522C23"/>
    <w:rsid w:val="00523872"/>
    <w:rsid w:val="00536527"/>
    <w:rsid w:val="0054022E"/>
    <w:rsid w:val="005424BC"/>
    <w:rsid w:val="00547CB5"/>
    <w:rsid w:val="00556E63"/>
    <w:rsid w:val="00564DC5"/>
    <w:rsid w:val="005669C9"/>
    <w:rsid w:val="00567711"/>
    <w:rsid w:val="00574428"/>
    <w:rsid w:val="00590BAC"/>
    <w:rsid w:val="005A28A1"/>
    <w:rsid w:val="005A46DB"/>
    <w:rsid w:val="005A6C5D"/>
    <w:rsid w:val="005B2B6F"/>
    <w:rsid w:val="005C3136"/>
    <w:rsid w:val="005D180C"/>
    <w:rsid w:val="005D7684"/>
    <w:rsid w:val="005E09DD"/>
    <w:rsid w:val="005E565D"/>
    <w:rsid w:val="005E7666"/>
    <w:rsid w:val="005E7DFA"/>
    <w:rsid w:val="005F0320"/>
    <w:rsid w:val="005F70B9"/>
    <w:rsid w:val="0060238E"/>
    <w:rsid w:val="00604FD5"/>
    <w:rsid w:val="006051E8"/>
    <w:rsid w:val="0060558B"/>
    <w:rsid w:val="00606528"/>
    <w:rsid w:val="00606951"/>
    <w:rsid w:val="00607E17"/>
    <w:rsid w:val="00625D3F"/>
    <w:rsid w:val="00630BDD"/>
    <w:rsid w:val="0063199E"/>
    <w:rsid w:val="00640EB4"/>
    <w:rsid w:val="00645F4A"/>
    <w:rsid w:val="00654630"/>
    <w:rsid w:val="006558E2"/>
    <w:rsid w:val="00656F36"/>
    <w:rsid w:val="00661A5A"/>
    <w:rsid w:val="00661A77"/>
    <w:rsid w:val="00661CF0"/>
    <w:rsid w:val="00665690"/>
    <w:rsid w:val="00667B12"/>
    <w:rsid w:val="00685D3A"/>
    <w:rsid w:val="00693268"/>
    <w:rsid w:val="00697D61"/>
    <w:rsid w:val="006A4B7F"/>
    <w:rsid w:val="006A5C91"/>
    <w:rsid w:val="006A7D1D"/>
    <w:rsid w:val="006C2C5F"/>
    <w:rsid w:val="006C361F"/>
    <w:rsid w:val="006C47B5"/>
    <w:rsid w:val="006C6EEC"/>
    <w:rsid w:val="006D0F20"/>
    <w:rsid w:val="006D53DF"/>
    <w:rsid w:val="006E759E"/>
    <w:rsid w:val="006F3164"/>
    <w:rsid w:val="006F55BD"/>
    <w:rsid w:val="006F5FFC"/>
    <w:rsid w:val="00716406"/>
    <w:rsid w:val="0071672C"/>
    <w:rsid w:val="00727D59"/>
    <w:rsid w:val="00731DC6"/>
    <w:rsid w:val="00735C02"/>
    <w:rsid w:val="00745A2F"/>
    <w:rsid w:val="00750565"/>
    <w:rsid w:val="007545AF"/>
    <w:rsid w:val="00754963"/>
    <w:rsid w:val="0075580A"/>
    <w:rsid w:val="00762323"/>
    <w:rsid w:val="00763FA6"/>
    <w:rsid w:val="007704FD"/>
    <w:rsid w:val="00770693"/>
    <w:rsid w:val="00780D4E"/>
    <w:rsid w:val="0078181C"/>
    <w:rsid w:val="0078486B"/>
    <w:rsid w:val="007918F4"/>
    <w:rsid w:val="00791E2F"/>
    <w:rsid w:val="007920FC"/>
    <w:rsid w:val="00792C0D"/>
    <w:rsid w:val="007940F9"/>
    <w:rsid w:val="00797863"/>
    <w:rsid w:val="007A1177"/>
    <w:rsid w:val="007A284F"/>
    <w:rsid w:val="007A6C22"/>
    <w:rsid w:val="007A77D4"/>
    <w:rsid w:val="007B087E"/>
    <w:rsid w:val="007D0C24"/>
    <w:rsid w:val="007D181E"/>
    <w:rsid w:val="007D23FB"/>
    <w:rsid w:val="007D4D71"/>
    <w:rsid w:val="007D666C"/>
    <w:rsid w:val="007E014F"/>
    <w:rsid w:val="0080163B"/>
    <w:rsid w:val="008048B9"/>
    <w:rsid w:val="008063DD"/>
    <w:rsid w:val="00817356"/>
    <w:rsid w:val="00820EAA"/>
    <w:rsid w:val="00820FF1"/>
    <w:rsid w:val="008230A3"/>
    <w:rsid w:val="0082749E"/>
    <w:rsid w:val="00832735"/>
    <w:rsid w:val="008329AD"/>
    <w:rsid w:val="00841FE4"/>
    <w:rsid w:val="0084371C"/>
    <w:rsid w:val="00845C79"/>
    <w:rsid w:val="00850C6F"/>
    <w:rsid w:val="00864F5F"/>
    <w:rsid w:val="00875CD1"/>
    <w:rsid w:val="00880212"/>
    <w:rsid w:val="00880D9C"/>
    <w:rsid w:val="00893475"/>
    <w:rsid w:val="008978B1"/>
    <w:rsid w:val="008A7939"/>
    <w:rsid w:val="008C0584"/>
    <w:rsid w:val="008C125E"/>
    <w:rsid w:val="008C26F0"/>
    <w:rsid w:val="008C3469"/>
    <w:rsid w:val="008D17D1"/>
    <w:rsid w:val="008D1F4C"/>
    <w:rsid w:val="008D3657"/>
    <w:rsid w:val="008D72E5"/>
    <w:rsid w:val="008F1E3E"/>
    <w:rsid w:val="008F597D"/>
    <w:rsid w:val="009208F4"/>
    <w:rsid w:val="00923385"/>
    <w:rsid w:val="00927526"/>
    <w:rsid w:val="00933181"/>
    <w:rsid w:val="0093729A"/>
    <w:rsid w:val="00946486"/>
    <w:rsid w:val="0097278A"/>
    <w:rsid w:val="00973612"/>
    <w:rsid w:val="0097436B"/>
    <w:rsid w:val="00974515"/>
    <w:rsid w:val="0097540A"/>
    <w:rsid w:val="0097673D"/>
    <w:rsid w:val="00977E9F"/>
    <w:rsid w:val="009819B9"/>
    <w:rsid w:val="009852E5"/>
    <w:rsid w:val="00985E59"/>
    <w:rsid w:val="009905D3"/>
    <w:rsid w:val="00991EB1"/>
    <w:rsid w:val="00993F42"/>
    <w:rsid w:val="009B0016"/>
    <w:rsid w:val="009B32FC"/>
    <w:rsid w:val="009B3B82"/>
    <w:rsid w:val="009C2386"/>
    <w:rsid w:val="009E59A2"/>
    <w:rsid w:val="009F08EB"/>
    <w:rsid w:val="009F3192"/>
    <w:rsid w:val="009F39F8"/>
    <w:rsid w:val="009F428F"/>
    <w:rsid w:val="00A01BB7"/>
    <w:rsid w:val="00A06B20"/>
    <w:rsid w:val="00A14E2A"/>
    <w:rsid w:val="00A20DA4"/>
    <w:rsid w:val="00A22B7A"/>
    <w:rsid w:val="00A25886"/>
    <w:rsid w:val="00A34462"/>
    <w:rsid w:val="00A42B17"/>
    <w:rsid w:val="00A542C4"/>
    <w:rsid w:val="00A7476F"/>
    <w:rsid w:val="00A76B73"/>
    <w:rsid w:val="00A77A6D"/>
    <w:rsid w:val="00A813AA"/>
    <w:rsid w:val="00A94B16"/>
    <w:rsid w:val="00AA1193"/>
    <w:rsid w:val="00AA672D"/>
    <w:rsid w:val="00AC575D"/>
    <w:rsid w:val="00AD46F9"/>
    <w:rsid w:val="00AD55E6"/>
    <w:rsid w:val="00AF3C77"/>
    <w:rsid w:val="00AF50EF"/>
    <w:rsid w:val="00B00C98"/>
    <w:rsid w:val="00B07993"/>
    <w:rsid w:val="00B07E41"/>
    <w:rsid w:val="00B21150"/>
    <w:rsid w:val="00B225F4"/>
    <w:rsid w:val="00B23E6A"/>
    <w:rsid w:val="00B26056"/>
    <w:rsid w:val="00B27D34"/>
    <w:rsid w:val="00B34ABA"/>
    <w:rsid w:val="00B37EFA"/>
    <w:rsid w:val="00B471BA"/>
    <w:rsid w:val="00B61BCE"/>
    <w:rsid w:val="00B72899"/>
    <w:rsid w:val="00B77DC0"/>
    <w:rsid w:val="00B83B79"/>
    <w:rsid w:val="00B84D44"/>
    <w:rsid w:val="00B92C2B"/>
    <w:rsid w:val="00BA02FF"/>
    <w:rsid w:val="00BA29EB"/>
    <w:rsid w:val="00BA35D2"/>
    <w:rsid w:val="00BA42D3"/>
    <w:rsid w:val="00BA7A2F"/>
    <w:rsid w:val="00BB2E04"/>
    <w:rsid w:val="00BB37A8"/>
    <w:rsid w:val="00BB388D"/>
    <w:rsid w:val="00BB4B32"/>
    <w:rsid w:val="00BB5EB2"/>
    <w:rsid w:val="00BC0B06"/>
    <w:rsid w:val="00BC1717"/>
    <w:rsid w:val="00BC6F7B"/>
    <w:rsid w:val="00BC7FB8"/>
    <w:rsid w:val="00BD35B4"/>
    <w:rsid w:val="00BD5E2F"/>
    <w:rsid w:val="00C024FB"/>
    <w:rsid w:val="00C02710"/>
    <w:rsid w:val="00C11F1F"/>
    <w:rsid w:val="00C16419"/>
    <w:rsid w:val="00C17469"/>
    <w:rsid w:val="00C2341D"/>
    <w:rsid w:val="00C24436"/>
    <w:rsid w:val="00C24BE2"/>
    <w:rsid w:val="00C3279A"/>
    <w:rsid w:val="00C36A7B"/>
    <w:rsid w:val="00C67D5E"/>
    <w:rsid w:val="00C80DAB"/>
    <w:rsid w:val="00C81B53"/>
    <w:rsid w:val="00C8206F"/>
    <w:rsid w:val="00C854A6"/>
    <w:rsid w:val="00C8595A"/>
    <w:rsid w:val="00C906F0"/>
    <w:rsid w:val="00C92A79"/>
    <w:rsid w:val="00C94FCA"/>
    <w:rsid w:val="00C94FEF"/>
    <w:rsid w:val="00CB6F9E"/>
    <w:rsid w:val="00CC19D5"/>
    <w:rsid w:val="00CC3962"/>
    <w:rsid w:val="00CC5F60"/>
    <w:rsid w:val="00CD01B0"/>
    <w:rsid w:val="00CD1705"/>
    <w:rsid w:val="00CD5297"/>
    <w:rsid w:val="00CF0411"/>
    <w:rsid w:val="00CF33BC"/>
    <w:rsid w:val="00D001D6"/>
    <w:rsid w:val="00D0247B"/>
    <w:rsid w:val="00D07F06"/>
    <w:rsid w:val="00D11C2C"/>
    <w:rsid w:val="00D11C3D"/>
    <w:rsid w:val="00D141F9"/>
    <w:rsid w:val="00D232F7"/>
    <w:rsid w:val="00D237D2"/>
    <w:rsid w:val="00D31EDE"/>
    <w:rsid w:val="00D40FE8"/>
    <w:rsid w:val="00D44BB1"/>
    <w:rsid w:val="00D55D59"/>
    <w:rsid w:val="00D56040"/>
    <w:rsid w:val="00D56BE7"/>
    <w:rsid w:val="00D602E1"/>
    <w:rsid w:val="00D60FC1"/>
    <w:rsid w:val="00D8002A"/>
    <w:rsid w:val="00D80D69"/>
    <w:rsid w:val="00D9172F"/>
    <w:rsid w:val="00D94C7D"/>
    <w:rsid w:val="00D96257"/>
    <w:rsid w:val="00DA0E17"/>
    <w:rsid w:val="00DA6A55"/>
    <w:rsid w:val="00DC5E14"/>
    <w:rsid w:val="00DC5FD9"/>
    <w:rsid w:val="00DC6FC0"/>
    <w:rsid w:val="00DD4596"/>
    <w:rsid w:val="00DD5DB5"/>
    <w:rsid w:val="00DD7DB1"/>
    <w:rsid w:val="00DE3A90"/>
    <w:rsid w:val="00DE3BD6"/>
    <w:rsid w:val="00DF05CD"/>
    <w:rsid w:val="00DF5A83"/>
    <w:rsid w:val="00DF5F30"/>
    <w:rsid w:val="00E015C6"/>
    <w:rsid w:val="00E0301F"/>
    <w:rsid w:val="00E06A66"/>
    <w:rsid w:val="00E139A7"/>
    <w:rsid w:val="00E14B47"/>
    <w:rsid w:val="00E24067"/>
    <w:rsid w:val="00E32EE7"/>
    <w:rsid w:val="00E375C1"/>
    <w:rsid w:val="00E50F68"/>
    <w:rsid w:val="00E51134"/>
    <w:rsid w:val="00E51BC7"/>
    <w:rsid w:val="00E51D4A"/>
    <w:rsid w:val="00E56923"/>
    <w:rsid w:val="00E57395"/>
    <w:rsid w:val="00E61B12"/>
    <w:rsid w:val="00E6500A"/>
    <w:rsid w:val="00E704B1"/>
    <w:rsid w:val="00E72268"/>
    <w:rsid w:val="00E93C6E"/>
    <w:rsid w:val="00E97541"/>
    <w:rsid w:val="00EA0D21"/>
    <w:rsid w:val="00EB311B"/>
    <w:rsid w:val="00ED195B"/>
    <w:rsid w:val="00ED72DB"/>
    <w:rsid w:val="00EF20B4"/>
    <w:rsid w:val="00F078F2"/>
    <w:rsid w:val="00F120F0"/>
    <w:rsid w:val="00F169AA"/>
    <w:rsid w:val="00F23C79"/>
    <w:rsid w:val="00F31833"/>
    <w:rsid w:val="00F47CD2"/>
    <w:rsid w:val="00F534EC"/>
    <w:rsid w:val="00F5451C"/>
    <w:rsid w:val="00F54DA9"/>
    <w:rsid w:val="00F636F5"/>
    <w:rsid w:val="00F72C1F"/>
    <w:rsid w:val="00F72F43"/>
    <w:rsid w:val="00F80E73"/>
    <w:rsid w:val="00F87AC9"/>
    <w:rsid w:val="00F95402"/>
    <w:rsid w:val="00FA3CC3"/>
    <w:rsid w:val="00FB25ED"/>
    <w:rsid w:val="00FB2D25"/>
    <w:rsid w:val="00FB39EF"/>
    <w:rsid w:val="00FB415B"/>
    <w:rsid w:val="00FC3194"/>
    <w:rsid w:val="00FD1ADC"/>
    <w:rsid w:val="00FD2D13"/>
    <w:rsid w:val="00FD509A"/>
    <w:rsid w:val="00FD54C9"/>
    <w:rsid w:val="00FD6588"/>
    <w:rsid w:val="00FE0B71"/>
    <w:rsid w:val="00FE17FD"/>
    <w:rsid w:val="00FE247A"/>
    <w:rsid w:val="00FE248F"/>
    <w:rsid w:val="00FE320A"/>
    <w:rsid w:val="00FE4379"/>
    <w:rsid w:val="00FE4DEA"/>
    <w:rsid w:val="00FF2C1B"/>
    <w:rsid w:val="00FF5819"/>
    <w:rsid w:val="00FF5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11D04"/>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9464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77E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946486"/>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946486"/>
    <w:rPr>
      <w:color w:val="0000FF"/>
      <w:u w:val="single"/>
    </w:rPr>
  </w:style>
  <w:style w:type="character" w:customStyle="1" w:styleId="fontstyle01">
    <w:name w:val="fontstyle01"/>
    <w:rsid w:val="00946486"/>
    <w:rPr>
      <w:rFonts w:ascii="Times-Roman" w:hAnsi="Times-Roman" w:hint="default"/>
      <w:b w:val="0"/>
      <w:bCs w:val="0"/>
      <w:i w:val="0"/>
      <w:iCs w:val="0"/>
      <w:color w:val="000000"/>
      <w:sz w:val="20"/>
      <w:szCs w:val="20"/>
    </w:rPr>
  </w:style>
  <w:style w:type="table" w:styleId="Tabelacomgrade">
    <w:name w:val="Table Grid"/>
    <w:basedOn w:val="Tabelanormal"/>
    <w:rsid w:val="00D3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unhideWhenUsed/>
    <w:rsid w:val="00A76B73"/>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A76B73"/>
    <w:rPr>
      <w:rFonts w:ascii="Times New Roman" w:eastAsia="Calibri" w:hAnsi="Times New Roman" w:cs="Times New Roman"/>
      <w:sz w:val="24"/>
      <w:szCs w:val="24"/>
      <w:lang w:eastAsia="pt-BR"/>
    </w:rPr>
  </w:style>
  <w:style w:type="character" w:styleId="Forte">
    <w:name w:val="Strong"/>
    <w:basedOn w:val="Fontepargpadro"/>
    <w:uiPriority w:val="22"/>
    <w:qFormat/>
    <w:rsid w:val="008C125E"/>
    <w:rPr>
      <w:b/>
      <w:bCs/>
    </w:rPr>
  </w:style>
  <w:style w:type="paragraph" w:styleId="TextosemFormatao">
    <w:name w:val="Plain Text"/>
    <w:basedOn w:val="Normal"/>
    <w:link w:val="TextosemFormataoChar"/>
    <w:unhideWhenUsed/>
    <w:rsid w:val="00656F36"/>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656F36"/>
    <w:rPr>
      <w:rFonts w:ascii="Courier New" w:eastAsia="Calibri" w:hAnsi="Courier New" w:cs="Arial"/>
      <w:bCs/>
      <w:sz w:val="20"/>
      <w:szCs w:val="24"/>
      <w:lang w:eastAsia="pt-BR"/>
    </w:rPr>
  </w:style>
  <w:style w:type="paragraph" w:styleId="Recuodecorpodetexto3">
    <w:name w:val="Body Text Indent 3"/>
    <w:basedOn w:val="Normal"/>
    <w:link w:val="Recuodecorpodetexto3Char"/>
    <w:uiPriority w:val="99"/>
    <w:unhideWhenUsed/>
    <w:rsid w:val="005A6C5D"/>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5A6C5D"/>
    <w:rPr>
      <w:sz w:val="16"/>
      <w:szCs w:val="16"/>
    </w:rPr>
  </w:style>
  <w:style w:type="paragraph" w:styleId="Recuodecorpodetexto">
    <w:name w:val="Body Text Indent"/>
    <w:basedOn w:val="Normal"/>
    <w:link w:val="RecuodecorpodetextoChar"/>
    <w:uiPriority w:val="99"/>
    <w:unhideWhenUsed/>
    <w:rsid w:val="003A2D44"/>
    <w:pPr>
      <w:spacing w:after="120"/>
      <w:ind w:left="283"/>
    </w:pPr>
  </w:style>
  <w:style w:type="character" w:customStyle="1" w:styleId="RecuodecorpodetextoChar">
    <w:name w:val="Recuo de corpo de texto Char"/>
    <w:basedOn w:val="Fontepargpadro"/>
    <w:link w:val="Recuodecorpodetexto"/>
    <w:uiPriority w:val="99"/>
    <w:rsid w:val="003A2D44"/>
  </w:style>
  <w:style w:type="paragraph" w:customStyle="1" w:styleId="Ementa">
    <w:name w:val="Ementa"/>
    <w:basedOn w:val="Normal"/>
    <w:uiPriority w:val="1"/>
    <w:qFormat/>
    <w:rsid w:val="00A06B20"/>
    <w:pPr>
      <w:spacing w:before="120" w:after="120" w:line="240" w:lineRule="auto"/>
      <w:ind w:left="4253"/>
      <w:jc w:val="both"/>
    </w:pPr>
    <w:rPr>
      <w:rFonts w:ascii="Calibri" w:eastAsia="Calibri" w:hAnsi="Calibri" w:cs="Times New Roman"/>
      <w:i/>
      <w:sz w:val="24"/>
    </w:rPr>
  </w:style>
  <w:style w:type="paragraph" w:customStyle="1" w:styleId="Normal1">
    <w:name w:val="Normal1"/>
    <w:qFormat/>
    <w:rsid w:val="00CB6F9E"/>
    <w:pPr>
      <w:spacing w:after="0" w:line="240" w:lineRule="auto"/>
    </w:pPr>
    <w:rPr>
      <w:rFonts w:ascii="Cambria" w:eastAsia="Cambria" w:hAnsi="Cambria" w:cs="Cambria"/>
      <w:sz w:val="24"/>
      <w:szCs w:val="24"/>
      <w:lang w:eastAsia="pt-BR"/>
    </w:rPr>
  </w:style>
  <w:style w:type="paragraph" w:styleId="Corpodetexto2">
    <w:name w:val="Body Text 2"/>
    <w:basedOn w:val="Normal"/>
    <w:link w:val="Corpodetexto2Char"/>
    <w:uiPriority w:val="99"/>
    <w:unhideWhenUsed/>
    <w:rsid w:val="00763FA6"/>
    <w:pPr>
      <w:spacing w:after="120" w:line="480" w:lineRule="auto"/>
    </w:pPr>
  </w:style>
  <w:style w:type="character" w:customStyle="1" w:styleId="Corpodetexto2Char">
    <w:name w:val="Corpo de texto 2 Char"/>
    <w:basedOn w:val="Fontepargpadro"/>
    <w:link w:val="Corpodetexto2"/>
    <w:uiPriority w:val="99"/>
    <w:rsid w:val="00763FA6"/>
  </w:style>
  <w:style w:type="character" w:customStyle="1" w:styleId="PargrafoChar">
    <w:name w:val="Parágrafo Char"/>
    <w:link w:val="Pargrafo"/>
    <w:semiHidden/>
    <w:locked/>
    <w:rsid w:val="00763FA6"/>
    <w:rPr>
      <w:rFonts w:ascii="Arial" w:eastAsia="Times New Roman" w:hAnsi="Arial" w:cs="Arial"/>
      <w:szCs w:val="24"/>
    </w:rPr>
  </w:style>
  <w:style w:type="paragraph" w:customStyle="1" w:styleId="Pargrafo">
    <w:name w:val="Parágrafo"/>
    <w:basedOn w:val="Normal"/>
    <w:link w:val="PargrafoChar"/>
    <w:semiHidden/>
    <w:qFormat/>
    <w:rsid w:val="00763FA6"/>
    <w:pPr>
      <w:spacing w:after="0" w:line="360" w:lineRule="auto"/>
      <w:jc w:val="both"/>
    </w:pPr>
    <w:rPr>
      <w:rFonts w:ascii="Arial" w:eastAsia="Times New Roman" w:hAnsi="Arial" w:cs="Arial"/>
      <w:szCs w:val="24"/>
    </w:rPr>
  </w:style>
  <w:style w:type="numbering" w:customStyle="1" w:styleId="Semlista1">
    <w:name w:val="Sem lista1"/>
    <w:next w:val="Semlista"/>
    <w:uiPriority w:val="99"/>
    <w:semiHidden/>
    <w:unhideWhenUsed/>
    <w:rsid w:val="007D181E"/>
  </w:style>
  <w:style w:type="paragraph" w:styleId="Ttulo">
    <w:name w:val="Title"/>
    <w:basedOn w:val="Normal"/>
    <w:link w:val="TtuloChar"/>
    <w:uiPriority w:val="99"/>
    <w:qFormat/>
    <w:rsid w:val="007D181E"/>
    <w:pPr>
      <w:spacing w:after="0" w:line="240" w:lineRule="auto"/>
      <w:ind w:left="1080"/>
      <w:jc w:val="center"/>
    </w:pPr>
    <w:rPr>
      <w:rFonts w:ascii="Courier New" w:eastAsia="Times New Roman" w:hAnsi="Courier New" w:cs="Courier New"/>
      <w:b/>
      <w:bCs/>
      <w:sz w:val="24"/>
      <w:szCs w:val="24"/>
      <w:u w:val="single"/>
      <w:lang w:eastAsia="pt-BR"/>
    </w:rPr>
  </w:style>
  <w:style w:type="character" w:customStyle="1" w:styleId="TtuloChar">
    <w:name w:val="Título Char"/>
    <w:basedOn w:val="Fontepargpadro"/>
    <w:link w:val="Ttulo"/>
    <w:uiPriority w:val="99"/>
    <w:rsid w:val="007D181E"/>
    <w:rPr>
      <w:rFonts w:ascii="Courier New" w:eastAsia="Times New Roman" w:hAnsi="Courier New" w:cs="Courier New"/>
      <w:b/>
      <w:bCs/>
      <w:sz w:val="24"/>
      <w:szCs w:val="24"/>
      <w:u w:val="single"/>
      <w:lang w:eastAsia="pt-BR"/>
    </w:rPr>
  </w:style>
  <w:style w:type="paragraph" w:customStyle="1" w:styleId="PargrafoNormal">
    <w:name w:val="Parágrafo Normal"/>
    <w:basedOn w:val="Normal"/>
    <w:rsid w:val="007D181E"/>
    <w:pPr>
      <w:spacing w:after="360" w:line="360" w:lineRule="auto"/>
      <w:ind w:firstLine="1701"/>
      <w:jc w:val="both"/>
    </w:pPr>
    <w:rPr>
      <w:rFonts w:ascii="Arial" w:eastAsia="Times New Roman" w:hAnsi="Arial" w:cs="Arial"/>
      <w:sz w:val="24"/>
      <w:szCs w:val="18"/>
      <w:lang w:eastAsia="pt-BR"/>
    </w:rPr>
  </w:style>
  <w:style w:type="paragraph" w:customStyle="1" w:styleId="Inciso">
    <w:name w:val="Inciso"/>
    <w:basedOn w:val="Normal"/>
    <w:rsid w:val="007D181E"/>
    <w:pPr>
      <w:numPr>
        <w:numId w:val="13"/>
      </w:numPr>
      <w:spacing w:beforeLines="50" w:afterLines="50" w:after="0" w:line="360" w:lineRule="auto"/>
      <w:jc w:val="both"/>
    </w:pPr>
    <w:rPr>
      <w:rFonts w:ascii="Arial" w:eastAsia="Times New Roman" w:hAnsi="Arial" w:cs="Arial"/>
      <w:sz w:val="24"/>
      <w:szCs w:val="18"/>
      <w:lang w:eastAsia="pt-BR"/>
    </w:rPr>
  </w:style>
  <w:style w:type="table" w:customStyle="1" w:styleId="Tabelacomgrade1">
    <w:name w:val="Tabela com grade1"/>
    <w:basedOn w:val="Tabelanormal"/>
    <w:next w:val="Tabelacomgrade"/>
    <w:uiPriority w:val="59"/>
    <w:rsid w:val="007D181E"/>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epargpadro1">
    <w:name w:val="Fonte parág. padrão1"/>
    <w:uiPriority w:val="99"/>
    <w:rsid w:val="00E06A66"/>
  </w:style>
  <w:style w:type="character" w:styleId="Nmerodepgina">
    <w:name w:val="page number"/>
    <w:basedOn w:val="Fontepargpadro"/>
    <w:semiHidden/>
    <w:unhideWhenUsed/>
    <w:rsid w:val="001278C3"/>
  </w:style>
  <w:style w:type="character" w:customStyle="1" w:styleId="yiv0824165561">
    <w:name w:val="yiv0824165561"/>
    <w:basedOn w:val="Fontepargpadro"/>
    <w:rsid w:val="00127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2593">
      <w:bodyDiv w:val="1"/>
      <w:marLeft w:val="0"/>
      <w:marRight w:val="0"/>
      <w:marTop w:val="0"/>
      <w:marBottom w:val="0"/>
      <w:divBdr>
        <w:top w:val="none" w:sz="0" w:space="0" w:color="auto"/>
        <w:left w:val="none" w:sz="0" w:space="0" w:color="auto"/>
        <w:bottom w:val="none" w:sz="0" w:space="0" w:color="auto"/>
        <w:right w:val="none" w:sz="0" w:space="0" w:color="auto"/>
      </w:divBdr>
    </w:div>
    <w:div w:id="77948182">
      <w:bodyDiv w:val="1"/>
      <w:marLeft w:val="0"/>
      <w:marRight w:val="0"/>
      <w:marTop w:val="0"/>
      <w:marBottom w:val="0"/>
      <w:divBdr>
        <w:top w:val="none" w:sz="0" w:space="0" w:color="auto"/>
        <w:left w:val="none" w:sz="0" w:space="0" w:color="auto"/>
        <w:bottom w:val="none" w:sz="0" w:space="0" w:color="auto"/>
        <w:right w:val="none" w:sz="0" w:space="0" w:color="auto"/>
      </w:divBdr>
    </w:div>
    <w:div w:id="122893946">
      <w:bodyDiv w:val="1"/>
      <w:marLeft w:val="0"/>
      <w:marRight w:val="0"/>
      <w:marTop w:val="0"/>
      <w:marBottom w:val="0"/>
      <w:divBdr>
        <w:top w:val="none" w:sz="0" w:space="0" w:color="auto"/>
        <w:left w:val="none" w:sz="0" w:space="0" w:color="auto"/>
        <w:bottom w:val="none" w:sz="0" w:space="0" w:color="auto"/>
        <w:right w:val="none" w:sz="0" w:space="0" w:color="auto"/>
      </w:divBdr>
    </w:div>
    <w:div w:id="149829979">
      <w:bodyDiv w:val="1"/>
      <w:marLeft w:val="0"/>
      <w:marRight w:val="0"/>
      <w:marTop w:val="0"/>
      <w:marBottom w:val="0"/>
      <w:divBdr>
        <w:top w:val="none" w:sz="0" w:space="0" w:color="auto"/>
        <w:left w:val="none" w:sz="0" w:space="0" w:color="auto"/>
        <w:bottom w:val="none" w:sz="0" w:space="0" w:color="auto"/>
        <w:right w:val="none" w:sz="0" w:space="0" w:color="auto"/>
      </w:divBdr>
    </w:div>
    <w:div w:id="168713778">
      <w:bodyDiv w:val="1"/>
      <w:marLeft w:val="0"/>
      <w:marRight w:val="0"/>
      <w:marTop w:val="0"/>
      <w:marBottom w:val="0"/>
      <w:divBdr>
        <w:top w:val="none" w:sz="0" w:space="0" w:color="auto"/>
        <w:left w:val="none" w:sz="0" w:space="0" w:color="auto"/>
        <w:bottom w:val="none" w:sz="0" w:space="0" w:color="auto"/>
        <w:right w:val="none" w:sz="0" w:space="0" w:color="auto"/>
      </w:divBdr>
    </w:div>
    <w:div w:id="183132259">
      <w:bodyDiv w:val="1"/>
      <w:marLeft w:val="0"/>
      <w:marRight w:val="0"/>
      <w:marTop w:val="0"/>
      <w:marBottom w:val="0"/>
      <w:divBdr>
        <w:top w:val="none" w:sz="0" w:space="0" w:color="auto"/>
        <w:left w:val="none" w:sz="0" w:space="0" w:color="auto"/>
        <w:bottom w:val="none" w:sz="0" w:space="0" w:color="auto"/>
        <w:right w:val="none" w:sz="0" w:space="0" w:color="auto"/>
      </w:divBdr>
    </w:div>
    <w:div w:id="187571646">
      <w:bodyDiv w:val="1"/>
      <w:marLeft w:val="0"/>
      <w:marRight w:val="0"/>
      <w:marTop w:val="0"/>
      <w:marBottom w:val="0"/>
      <w:divBdr>
        <w:top w:val="none" w:sz="0" w:space="0" w:color="auto"/>
        <w:left w:val="none" w:sz="0" w:space="0" w:color="auto"/>
        <w:bottom w:val="none" w:sz="0" w:space="0" w:color="auto"/>
        <w:right w:val="none" w:sz="0" w:space="0" w:color="auto"/>
      </w:divBdr>
    </w:div>
    <w:div w:id="212735113">
      <w:bodyDiv w:val="1"/>
      <w:marLeft w:val="0"/>
      <w:marRight w:val="0"/>
      <w:marTop w:val="0"/>
      <w:marBottom w:val="0"/>
      <w:divBdr>
        <w:top w:val="none" w:sz="0" w:space="0" w:color="auto"/>
        <w:left w:val="none" w:sz="0" w:space="0" w:color="auto"/>
        <w:bottom w:val="none" w:sz="0" w:space="0" w:color="auto"/>
        <w:right w:val="none" w:sz="0" w:space="0" w:color="auto"/>
      </w:divBdr>
    </w:div>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312175822">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73165805">
      <w:bodyDiv w:val="1"/>
      <w:marLeft w:val="0"/>
      <w:marRight w:val="0"/>
      <w:marTop w:val="0"/>
      <w:marBottom w:val="0"/>
      <w:divBdr>
        <w:top w:val="none" w:sz="0" w:space="0" w:color="auto"/>
        <w:left w:val="none" w:sz="0" w:space="0" w:color="auto"/>
        <w:bottom w:val="none" w:sz="0" w:space="0" w:color="auto"/>
        <w:right w:val="none" w:sz="0" w:space="0" w:color="auto"/>
      </w:divBdr>
    </w:div>
    <w:div w:id="400522760">
      <w:bodyDiv w:val="1"/>
      <w:marLeft w:val="0"/>
      <w:marRight w:val="0"/>
      <w:marTop w:val="0"/>
      <w:marBottom w:val="0"/>
      <w:divBdr>
        <w:top w:val="none" w:sz="0" w:space="0" w:color="auto"/>
        <w:left w:val="none" w:sz="0" w:space="0" w:color="auto"/>
        <w:bottom w:val="none" w:sz="0" w:space="0" w:color="auto"/>
        <w:right w:val="none" w:sz="0" w:space="0" w:color="auto"/>
      </w:divBdr>
    </w:div>
    <w:div w:id="432675536">
      <w:bodyDiv w:val="1"/>
      <w:marLeft w:val="0"/>
      <w:marRight w:val="0"/>
      <w:marTop w:val="0"/>
      <w:marBottom w:val="0"/>
      <w:divBdr>
        <w:top w:val="none" w:sz="0" w:space="0" w:color="auto"/>
        <w:left w:val="none" w:sz="0" w:space="0" w:color="auto"/>
        <w:bottom w:val="none" w:sz="0" w:space="0" w:color="auto"/>
        <w:right w:val="none" w:sz="0" w:space="0" w:color="auto"/>
      </w:divBdr>
    </w:div>
    <w:div w:id="453525942">
      <w:bodyDiv w:val="1"/>
      <w:marLeft w:val="0"/>
      <w:marRight w:val="0"/>
      <w:marTop w:val="0"/>
      <w:marBottom w:val="0"/>
      <w:divBdr>
        <w:top w:val="none" w:sz="0" w:space="0" w:color="auto"/>
        <w:left w:val="none" w:sz="0" w:space="0" w:color="auto"/>
        <w:bottom w:val="none" w:sz="0" w:space="0" w:color="auto"/>
        <w:right w:val="none" w:sz="0" w:space="0" w:color="auto"/>
      </w:divBdr>
    </w:div>
    <w:div w:id="456484998">
      <w:bodyDiv w:val="1"/>
      <w:marLeft w:val="0"/>
      <w:marRight w:val="0"/>
      <w:marTop w:val="0"/>
      <w:marBottom w:val="0"/>
      <w:divBdr>
        <w:top w:val="none" w:sz="0" w:space="0" w:color="auto"/>
        <w:left w:val="none" w:sz="0" w:space="0" w:color="auto"/>
        <w:bottom w:val="none" w:sz="0" w:space="0" w:color="auto"/>
        <w:right w:val="none" w:sz="0" w:space="0" w:color="auto"/>
      </w:divBdr>
    </w:div>
    <w:div w:id="471099357">
      <w:bodyDiv w:val="1"/>
      <w:marLeft w:val="0"/>
      <w:marRight w:val="0"/>
      <w:marTop w:val="0"/>
      <w:marBottom w:val="0"/>
      <w:divBdr>
        <w:top w:val="none" w:sz="0" w:space="0" w:color="auto"/>
        <w:left w:val="none" w:sz="0" w:space="0" w:color="auto"/>
        <w:bottom w:val="none" w:sz="0" w:space="0" w:color="auto"/>
        <w:right w:val="none" w:sz="0" w:space="0" w:color="auto"/>
      </w:divBdr>
    </w:div>
    <w:div w:id="481236380">
      <w:bodyDiv w:val="1"/>
      <w:marLeft w:val="0"/>
      <w:marRight w:val="0"/>
      <w:marTop w:val="0"/>
      <w:marBottom w:val="0"/>
      <w:divBdr>
        <w:top w:val="none" w:sz="0" w:space="0" w:color="auto"/>
        <w:left w:val="none" w:sz="0" w:space="0" w:color="auto"/>
        <w:bottom w:val="none" w:sz="0" w:space="0" w:color="auto"/>
        <w:right w:val="none" w:sz="0" w:space="0" w:color="auto"/>
      </w:divBdr>
    </w:div>
    <w:div w:id="491027297">
      <w:bodyDiv w:val="1"/>
      <w:marLeft w:val="0"/>
      <w:marRight w:val="0"/>
      <w:marTop w:val="0"/>
      <w:marBottom w:val="0"/>
      <w:divBdr>
        <w:top w:val="none" w:sz="0" w:space="0" w:color="auto"/>
        <w:left w:val="none" w:sz="0" w:space="0" w:color="auto"/>
        <w:bottom w:val="none" w:sz="0" w:space="0" w:color="auto"/>
        <w:right w:val="none" w:sz="0" w:space="0" w:color="auto"/>
      </w:divBdr>
    </w:div>
    <w:div w:id="505294471">
      <w:bodyDiv w:val="1"/>
      <w:marLeft w:val="0"/>
      <w:marRight w:val="0"/>
      <w:marTop w:val="0"/>
      <w:marBottom w:val="0"/>
      <w:divBdr>
        <w:top w:val="none" w:sz="0" w:space="0" w:color="auto"/>
        <w:left w:val="none" w:sz="0" w:space="0" w:color="auto"/>
        <w:bottom w:val="none" w:sz="0" w:space="0" w:color="auto"/>
        <w:right w:val="none" w:sz="0" w:space="0" w:color="auto"/>
      </w:divBdr>
    </w:div>
    <w:div w:id="528177754">
      <w:bodyDiv w:val="1"/>
      <w:marLeft w:val="0"/>
      <w:marRight w:val="0"/>
      <w:marTop w:val="0"/>
      <w:marBottom w:val="0"/>
      <w:divBdr>
        <w:top w:val="none" w:sz="0" w:space="0" w:color="auto"/>
        <w:left w:val="none" w:sz="0" w:space="0" w:color="auto"/>
        <w:bottom w:val="none" w:sz="0" w:space="0" w:color="auto"/>
        <w:right w:val="none" w:sz="0" w:space="0" w:color="auto"/>
      </w:divBdr>
    </w:div>
    <w:div w:id="616646000">
      <w:bodyDiv w:val="1"/>
      <w:marLeft w:val="0"/>
      <w:marRight w:val="0"/>
      <w:marTop w:val="0"/>
      <w:marBottom w:val="0"/>
      <w:divBdr>
        <w:top w:val="none" w:sz="0" w:space="0" w:color="auto"/>
        <w:left w:val="none" w:sz="0" w:space="0" w:color="auto"/>
        <w:bottom w:val="none" w:sz="0" w:space="0" w:color="auto"/>
        <w:right w:val="none" w:sz="0" w:space="0" w:color="auto"/>
      </w:divBdr>
    </w:div>
    <w:div w:id="634219630">
      <w:bodyDiv w:val="1"/>
      <w:marLeft w:val="0"/>
      <w:marRight w:val="0"/>
      <w:marTop w:val="0"/>
      <w:marBottom w:val="0"/>
      <w:divBdr>
        <w:top w:val="none" w:sz="0" w:space="0" w:color="auto"/>
        <w:left w:val="none" w:sz="0" w:space="0" w:color="auto"/>
        <w:bottom w:val="none" w:sz="0" w:space="0" w:color="auto"/>
        <w:right w:val="none" w:sz="0" w:space="0" w:color="auto"/>
      </w:divBdr>
    </w:div>
    <w:div w:id="640157394">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698892430">
      <w:bodyDiv w:val="1"/>
      <w:marLeft w:val="0"/>
      <w:marRight w:val="0"/>
      <w:marTop w:val="0"/>
      <w:marBottom w:val="0"/>
      <w:divBdr>
        <w:top w:val="none" w:sz="0" w:space="0" w:color="auto"/>
        <w:left w:val="none" w:sz="0" w:space="0" w:color="auto"/>
        <w:bottom w:val="none" w:sz="0" w:space="0" w:color="auto"/>
        <w:right w:val="none" w:sz="0" w:space="0" w:color="auto"/>
      </w:divBdr>
    </w:div>
    <w:div w:id="784688841">
      <w:bodyDiv w:val="1"/>
      <w:marLeft w:val="0"/>
      <w:marRight w:val="0"/>
      <w:marTop w:val="0"/>
      <w:marBottom w:val="0"/>
      <w:divBdr>
        <w:top w:val="none" w:sz="0" w:space="0" w:color="auto"/>
        <w:left w:val="none" w:sz="0" w:space="0" w:color="auto"/>
        <w:bottom w:val="none" w:sz="0" w:space="0" w:color="auto"/>
        <w:right w:val="none" w:sz="0" w:space="0" w:color="auto"/>
      </w:divBdr>
    </w:div>
    <w:div w:id="799690312">
      <w:bodyDiv w:val="1"/>
      <w:marLeft w:val="0"/>
      <w:marRight w:val="0"/>
      <w:marTop w:val="0"/>
      <w:marBottom w:val="0"/>
      <w:divBdr>
        <w:top w:val="none" w:sz="0" w:space="0" w:color="auto"/>
        <w:left w:val="none" w:sz="0" w:space="0" w:color="auto"/>
        <w:bottom w:val="none" w:sz="0" w:space="0" w:color="auto"/>
        <w:right w:val="none" w:sz="0" w:space="0" w:color="auto"/>
      </w:divBdr>
    </w:div>
    <w:div w:id="834539377">
      <w:bodyDiv w:val="1"/>
      <w:marLeft w:val="0"/>
      <w:marRight w:val="0"/>
      <w:marTop w:val="0"/>
      <w:marBottom w:val="0"/>
      <w:divBdr>
        <w:top w:val="none" w:sz="0" w:space="0" w:color="auto"/>
        <w:left w:val="none" w:sz="0" w:space="0" w:color="auto"/>
        <w:bottom w:val="none" w:sz="0" w:space="0" w:color="auto"/>
        <w:right w:val="none" w:sz="0" w:space="0" w:color="auto"/>
      </w:divBdr>
    </w:div>
    <w:div w:id="939525288">
      <w:bodyDiv w:val="1"/>
      <w:marLeft w:val="0"/>
      <w:marRight w:val="0"/>
      <w:marTop w:val="0"/>
      <w:marBottom w:val="0"/>
      <w:divBdr>
        <w:top w:val="none" w:sz="0" w:space="0" w:color="auto"/>
        <w:left w:val="none" w:sz="0" w:space="0" w:color="auto"/>
        <w:bottom w:val="none" w:sz="0" w:space="0" w:color="auto"/>
        <w:right w:val="none" w:sz="0" w:space="0" w:color="auto"/>
      </w:divBdr>
    </w:div>
    <w:div w:id="1091390126">
      <w:bodyDiv w:val="1"/>
      <w:marLeft w:val="0"/>
      <w:marRight w:val="0"/>
      <w:marTop w:val="0"/>
      <w:marBottom w:val="0"/>
      <w:divBdr>
        <w:top w:val="none" w:sz="0" w:space="0" w:color="auto"/>
        <w:left w:val="none" w:sz="0" w:space="0" w:color="auto"/>
        <w:bottom w:val="none" w:sz="0" w:space="0" w:color="auto"/>
        <w:right w:val="none" w:sz="0" w:space="0" w:color="auto"/>
      </w:divBdr>
    </w:div>
    <w:div w:id="1107892395">
      <w:bodyDiv w:val="1"/>
      <w:marLeft w:val="0"/>
      <w:marRight w:val="0"/>
      <w:marTop w:val="0"/>
      <w:marBottom w:val="0"/>
      <w:divBdr>
        <w:top w:val="none" w:sz="0" w:space="0" w:color="auto"/>
        <w:left w:val="none" w:sz="0" w:space="0" w:color="auto"/>
        <w:bottom w:val="none" w:sz="0" w:space="0" w:color="auto"/>
        <w:right w:val="none" w:sz="0" w:space="0" w:color="auto"/>
      </w:divBdr>
    </w:div>
    <w:div w:id="1164055462">
      <w:bodyDiv w:val="1"/>
      <w:marLeft w:val="0"/>
      <w:marRight w:val="0"/>
      <w:marTop w:val="0"/>
      <w:marBottom w:val="0"/>
      <w:divBdr>
        <w:top w:val="none" w:sz="0" w:space="0" w:color="auto"/>
        <w:left w:val="none" w:sz="0" w:space="0" w:color="auto"/>
        <w:bottom w:val="none" w:sz="0" w:space="0" w:color="auto"/>
        <w:right w:val="none" w:sz="0" w:space="0" w:color="auto"/>
      </w:divBdr>
    </w:div>
    <w:div w:id="1220433103">
      <w:bodyDiv w:val="1"/>
      <w:marLeft w:val="0"/>
      <w:marRight w:val="0"/>
      <w:marTop w:val="0"/>
      <w:marBottom w:val="0"/>
      <w:divBdr>
        <w:top w:val="none" w:sz="0" w:space="0" w:color="auto"/>
        <w:left w:val="none" w:sz="0" w:space="0" w:color="auto"/>
        <w:bottom w:val="none" w:sz="0" w:space="0" w:color="auto"/>
        <w:right w:val="none" w:sz="0" w:space="0" w:color="auto"/>
      </w:divBdr>
    </w:div>
    <w:div w:id="123759271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299722741">
      <w:bodyDiv w:val="1"/>
      <w:marLeft w:val="0"/>
      <w:marRight w:val="0"/>
      <w:marTop w:val="0"/>
      <w:marBottom w:val="0"/>
      <w:divBdr>
        <w:top w:val="none" w:sz="0" w:space="0" w:color="auto"/>
        <w:left w:val="none" w:sz="0" w:space="0" w:color="auto"/>
        <w:bottom w:val="none" w:sz="0" w:space="0" w:color="auto"/>
        <w:right w:val="none" w:sz="0" w:space="0" w:color="auto"/>
      </w:divBdr>
    </w:div>
    <w:div w:id="1376467554">
      <w:bodyDiv w:val="1"/>
      <w:marLeft w:val="0"/>
      <w:marRight w:val="0"/>
      <w:marTop w:val="0"/>
      <w:marBottom w:val="0"/>
      <w:divBdr>
        <w:top w:val="none" w:sz="0" w:space="0" w:color="auto"/>
        <w:left w:val="none" w:sz="0" w:space="0" w:color="auto"/>
        <w:bottom w:val="none" w:sz="0" w:space="0" w:color="auto"/>
        <w:right w:val="none" w:sz="0" w:space="0" w:color="auto"/>
      </w:divBdr>
    </w:div>
    <w:div w:id="1400592481">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81069162">
      <w:bodyDiv w:val="1"/>
      <w:marLeft w:val="0"/>
      <w:marRight w:val="0"/>
      <w:marTop w:val="0"/>
      <w:marBottom w:val="0"/>
      <w:divBdr>
        <w:top w:val="none" w:sz="0" w:space="0" w:color="auto"/>
        <w:left w:val="none" w:sz="0" w:space="0" w:color="auto"/>
        <w:bottom w:val="none" w:sz="0" w:space="0" w:color="auto"/>
        <w:right w:val="none" w:sz="0" w:space="0" w:color="auto"/>
      </w:divBdr>
    </w:div>
    <w:div w:id="1481075511">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628244996">
      <w:bodyDiv w:val="1"/>
      <w:marLeft w:val="0"/>
      <w:marRight w:val="0"/>
      <w:marTop w:val="0"/>
      <w:marBottom w:val="0"/>
      <w:divBdr>
        <w:top w:val="none" w:sz="0" w:space="0" w:color="auto"/>
        <w:left w:val="none" w:sz="0" w:space="0" w:color="auto"/>
        <w:bottom w:val="none" w:sz="0" w:space="0" w:color="auto"/>
        <w:right w:val="none" w:sz="0" w:space="0" w:color="auto"/>
      </w:divBdr>
    </w:div>
    <w:div w:id="1634216161">
      <w:bodyDiv w:val="1"/>
      <w:marLeft w:val="0"/>
      <w:marRight w:val="0"/>
      <w:marTop w:val="0"/>
      <w:marBottom w:val="0"/>
      <w:divBdr>
        <w:top w:val="none" w:sz="0" w:space="0" w:color="auto"/>
        <w:left w:val="none" w:sz="0" w:space="0" w:color="auto"/>
        <w:bottom w:val="none" w:sz="0" w:space="0" w:color="auto"/>
        <w:right w:val="none" w:sz="0" w:space="0" w:color="auto"/>
      </w:divBdr>
    </w:div>
    <w:div w:id="1766924750">
      <w:bodyDiv w:val="1"/>
      <w:marLeft w:val="0"/>
      <w:marRight w:val="0"/>
      <w:marTop w:val="0"/>
      <w:marBottom w:val="0"/>
      <w:divBdr>
        <w:top w:val="none" w:sz="0" w:space="0" w:color="auto"/>
        <w:left w:val="none" w:sz="0" w:space="0" w:color="auto"/>
        <w:bottom w:val="none" w:sz="0" w:space="0" w:color="auto"/>
        <w:right w:val="none" w:sz="0" w:space="0" w:color="auto"/>
      </w:divBdr>
    </w:div>
    <w:div w:id="1787235369">
      <w:bodyDiv w:val="1"/>
      <w:marLeft w:val="0"/>
      <w:marRight w:val="0"/>
      <w:marTop w:val="0"/>
      <w:marBottom w:val="0"/>
      <w:divBdr>
        <w:top w:val="none" w:sz="0" w:space="0" w:color="auto"/>
        <w:left w:val="none" w:sz="0" w:space="0" w:color="auto"/>
        <w:bottom w:val="none" w:sz="0" w:space="0" w:color="auto"/>
        <w:right w:val="none" w:sz="0" w:space="0" w:color="auto"/>
      </w:divBdr>
    </w:div>
    <w:div w:id="1797404688">
      <w:bodyDiv w:val="1"/>
      <w:marLeft w:val="0"/>
      <w:marRight w:val="0"/>
      <w:marTop w:val="0"/>
      <w:marBottom w:val="0"/>
      <w:divBdr>
        <w:top w:val="none" w:sz="0" w:space="0" w:color="auto"/>
        <w:left w:val="none" w:sz="0" w:space="0" w:color="auto"/>
        <w:bottom w:val="none" w:sz="0" w:space="0" w:color="auto"/>
        <w:right w:val="none" w:sz="0" w:space="0" w:color="auto"/>
      </w:divBdr>
    </w:div>
    <w:div w:id="1825664974">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1921478934">
      <w:bodyDiv w:val="1"/>
      <w:marLeft w:val="0"/>
      <w:marRight w:val="0"/>
      <w:marTop w:val="0"/>
      <w:marBottom w:val="0"/>
      <w:divBdr>
        <w:top w:val="none" w:sz="0" w:space="0" w:color="auto"/>
        <w:left w:val="none" w:sz="0" w:space="0" w:color="auto"/>
        <w:bottom w:val="none" w:sz="0" w:space="0" w:color="auto"/>
        <w:right w:val="none" w:sz="0" w:space="0" w:color="auto"/>
      </w:divBdr>
    </w:div>
    <w:div w:id="1961066196">
      <w:bodyDiv w:val="1"/>
      <w:marLeft w:val="0"/>
      <w:marRight w:val="0"/>
      <w:marTop w:val="0"/>
      <w:marBottom w:val="0"/>
      <w:divBdr>
        <w:top w:val="none" w:sz="0" w:space="0" w:color="auto"/>
        <w:left w:val="none" w:sz="0" w:space="0" w:color="auto"/>
        <w:bottom w:val="none" w:sz="0" w:space="0" w:color="auto"/>
        <w:right w:val="none" w:sz="0" w:space="0" w:color="auto"/>
      </w:divBdr>
    </w:div>
    <w:div w:id="1974943678">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 w:id="2052265139">
      <w:bodyDiv w:val="1"/>
      <w:marLeft w:val="0"/>
      <w:marRight w:val="0"/>
      <w:marTop w:val="0"/>
      <w:marBottom w:val="0"/>
      <w:divBdr>
        <w:top w:val="none" w:sz="0" w:space="0" w:color="auto"/>
        <w:left w:val="none" w:sz="0" w:space="0" w:color="auto"/>
        <w:bottom w:val="none" w:sz="0" w:space="0" w:color="auto"/>
        <w:right w:val="none" w:sz="0" w:space="0" w:color="auto"/>
      </w:divBdr>
    </w:div>
    <w:div w:id="2068189576">
      <w:bodyDiv w:val="1"/>
      <w:marLeft w:val="0"/>
      <w:marRight w:val="0"/>
      <w:marTop w:val="0"/>
      <w:marBottom w:val="0"/>
      <w:divBdr>
        <w:top w:val="none" w:sz="0" w:space="0" w:color="auto"/>
        <w:left w:val="none" w:sz="0" w:space="0" w:color="auto"/>
        <w:bottom w:val="none" w:sz="0" w:space="0" w:color="auto"/>
        <w:right w:val="none" w:sz="0" w:space="0" w:color="auto"/>
      </w:divBdr>
    </w:div>
    <w:div w:id="21382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3ADA0-9305-4A82-AE9A-F61E0B9F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1215</Words>
  <Characters>6561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Ana Paula Ramos Galvão</cp:lastModifiedBy>
  <cp:revision>6</cp:revision>
  <cp:lastPrinted>2026-02-10T14:27:00Z</cp:lastPrinted>
  <dcterms:created xsi:type="dcterms:W3CDTF">2026-06-22T18:37:00Z</dcterms:created>
  <dcterms:modified xsi:type="dcterms:W3CDTF">2026-06-30T14:35:00Z</dcterms:modified>
</cp:coreProperties>
</file>