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DIREITOS HUMANOS, IGUALDADE RACIAL, DEFESA DA CRIANÇA, DO ADOLESCENTE, DO IDOSO, DA PESSOA COM DEFICIÊNCIA, DO REFUGIADO E DO IMIGRANTE AO PROJETO DE LEI 202/2026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 o Dia Municipal do Cuidador do Idoso no Município de Itapevi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Dia Municipal do Cuidador do Idoso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-1079959</wp:posOffset>
          </wp:positionH>
          <wp:positionV relativeFrom="paragraph">
            <wp:posOffset>-1518094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LjkJFb50LjqaWWHEW4IvqCoSA==">CgMxLjAyCWguMWZvYjl0ZTIJaC4yZXQ5MnAwMgloLjMwajB6bGw4AHIhMU95eEJtY3NocUxSSTBLZlg4OUxBTnRxZWRyMnd0R05j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