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11607" w14:textId="00187B55" w:rsidR="005C0B37" w:rsidRPr="005C0B37" w:rsidRDefault="005C0B37" w:rsidP="005C0B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Projeto de Resolução </w:t>
      </w:r>
      <w:r>
        <w:rPr>
          <w:rFonts w:ascii="Times New Roman" w:hAnsi="Times New Roman" w:cs="Times New Roman"/>
          <w:b/>
          <w:bCs/>
          <w:sz w:val="24"/>
          <w:szCs w:val="24"/>
        </w:rPr>
        <w:t>Nº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017/</w:t>
      </w:r>
      <w:r w:rsidRPr="005C0B37">
        <w:rPr>
          <w:rFonts w:ascii="Times New Roman" w:hAnsi="Times New Roman" w:cs="Times New Roman"/>
          <w:b/>
          <w:bCs/>
          <w:sz w:val="24"/>
          <w:szCs w:val="24"/>
        </w:rPr>
        <w:t>2026.</w:t>
      </w:r>
    </w:p>
    <w:p w14:paraId="1276DE17" w14:textId="77777777" w:rsidR="005C0B37" w:rsidRPr="005C0B37" w:rsidRDefault="005C0B37" w:rsidP="005C0B3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2E022" w14:textId="36727DD8" w:rsidR="005C0B37" w:rsidRPr="005C0B37" w:rsidRDefault="00054F5F" w:rsidP="001E6362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5C0B37" w:rsidRPr="005C0B37">
        <w:rPr>
          <w:rFonts w:ascii="Times New Roman" w:hAnsi="Times New Roman" w:cs="Times New Roman"/>
          <w:sz w:val="24"/>
          <w:szCs w:val="24"/>
        </w:rPr>
        <w:t>Regulamenta a aplicação da Lei Complementar n° 226/2026, de 13 janeiro de 2026, no âmbito da Câmara Municipal de Itapevi e dá outras providências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C0B37" w:rsidRPr="005C0B37">
        <w:rPr>
          <w:rFonts w:ascii="Times New Roman" w:hAnsi="Times New Roman" w:cs="Times New Roman"/>
          <w:sz w:val="24"/>
          <w:szCs w:val="24"/>
        </w:rPr>
        <w:t>.</w:t>
      </w:r>
    </w:p>
    <w:p w14:paraId="3BCD7901" w14:textId="77777777" w:rsidR="005C0B37" w:rsidRPr="005C0B37" w:rsidRDefault="005C0B37" w:rsidP="005C0B37">
      <w:pPr>
        <w:ind w:left="2410"/>
        <w:jc w:val="both"/>
        <w:rPr>
          <w:rFonts w:ascii="Times New Roman" w:hAnsi="Times New Roman" w:cs="Times New Roman"/>
          <w:sz w:val="24"/>
          <w:szCs w:val="24"/>
        </w:rPr>
      </w:pPr>
    </w:p>
    <w:p w14:paraId="49C46595" w14:textId="4DC3748D" w:rsidR="005C0B37" w:rsidRDefault="005C0B37" w:rsidP="00054F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 xml:space="preserve">A </w:t>
      </w:r>
      <w:r w:rsidR="00054F5F" w:rsidRPr="00054F5F">
        <w:rPr>
          <w:rFonts w:ascii="Times New Roman" w:hAnsi="Times New Roman" w:cs="Times New Roman"/>
          <w:b/>
          <w:bCs/>
          <w:sz w:val="24"/>
          <w:szCs w:val="24"/>
        </w:rPr>
        <w:t>MESA DIRETORA DA CÂMARA MUNICIPAL DE ITAPEVI</w:t>
      </w:r>
      <w:r w:rsidRPr="005C0B37">
        <w:rPr>
          <w:rFonts w:ascii="Times New Roman" w:hAnsi="Times New Roman" w:cs="Times New Roman"/>
          <w:sz w:val="24"/>
          <w:szCs w:val="24"/>
        </w:rPr>
        <w:t xml:space="preserve">, </w:t>
      </w:r>
      <w:r w:rsidR="00054F5F">
        <w:rPr>
          <w:rFonts w:ascii="Times New Roman" w:hAnsi="Times New Roman" w:cs="Times New Roman"/>
          <w:sz w:val="24"/>
          <w:szCs w:val="24"/>
        </w:rPr>
        <w:t>no uso</w:t>
      </w:r>
      <w:r w:rsidRPr="005C0B37">
        <w:rPr>
          <w:rFonts w:ascii="Times New Roman" w:hAnsi="Times New Roman" w:cs="Times New Roman"/>
          <w:sz w:val="24"/>
          <w:szCs w:val="24"/>
        </w:rPr>
        <w:t xml:space="preserve"> das</w:t>
      </w:r>
      <w:r w:rsidR="00054F5F">
        <w:rPr>
          <w:rFonts w:ascii="Times New Roman" w:hAnsi="Times New Roman" w:cs="Times New Roman"/>
          <w:sz w:val="24"/>
          <w:szCs w:val="24"/>
        </w:rPr>
        <w:t xml:space="preserve"> suas</w:t>
      </w:r>
      <w:r w:rsidRPr="005C0B37">
        <w:rPr>
          <w:rFonts w:ascii="Times New Roman" w:hAnsi="Times New Roman" w:cs="Times New Roman"/>
          <w:sz w:val="24"/>
          <w:szCs w:val="24"/>
        </w:rPr>
        <w:t xml:space="preserve"> atribuições </w:t>
      </w:r>
      <w:r w:rsidR="00054F5F">
        <w:rPr>
          <w:rFonts w:ascii="Times New Roman" w:hAnsi="Times New Roman" w:cs="Times New Roman"/>
          <w:sz w:val="24"/>
          <w:szCs w:val="24"/>
        </w:rPr>
        <w:t>legais</w:t>
      </w:r>
      <w:r w:rsidRPr="005C0B37">
        <w:rPr>
          <w:rFonts w:ascii="Times New Roman" w:hAnsi="Times New Roman" w:cs="Times New Roman"/>
          <w:sz w:val="24"/>
          <w:szCs w:val="24"/>
        </w:rPr>
        <w:t>,</w:t>
      </w:r>
      <w:r w:rsidR="00054F5F">
        <w:rPr>
          <w:rFonts w:ascii="Times New Roman" w:hAnsi="Times New Roman" w:cs="Times New Roman"/>
          <w:sz w:val="24"/>
          <w:szCs w:val="24"/>
        </w:rPr>
        <w:t xml:space="preserve"> </w:t>
      </w:r>
      <w:r w:rsidR="00054F5F">
        <w:rPr>
          <w:rFonts w:ascii="Times New Roman" w:hAnsi="Times New Roman" w:cs="Times New Roman"/>
          <w:b/>
          <w:bCs/>
          <w:sz w:val="24"/>
          <w:szCs w:val="24"/>
        </w:rPr>
        <w:t>RESOLVE:</w:t>
      </w:r>
    </w:p>
    <w:p w14:paraId="50C5BC7B" w14:textId="77777777" w:rsidR="00054F5F" w:rsidRPr="00054F5F" w:rsidRDefault="00054F5F" w:rsidP="00054F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9D17C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Fica determinada a integral contagem de tempo do período compreendido entre os dias 28 de maio de 2020 e 31 de dezembro de 2021- Descongela, para efeito de considerar como período aquisitivo necessário para a concessão de adicionais por tempo de serviço, licenças-prêmio, sexta-parte e demais mecanismos equivalentes, a todos os servidores que estiveram vinculados à Câmara Municipal de Itapevi nesse período, inclusive os que passaram à inatividade, faleceram ou se exoneraram a pedido ou a bem do serviço público.</w:t>
      </w:r>
    </w:p>
    <w:p w14:paraId="7266390B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Parágrafo único.</w:t>
      </w:r>
      <w:r w:rsidRPr="005C0B37">
        <w:rPr>
          <w:rFonts w:ascii="Times New Roman" w:hAnsi="Times New Roman" w:cs="Times New Roman"/>
          <w:sz w:val="24"/>
          <w:szCs w:val="24"/>
        </w:rPr>
        <w:t xml:space="preserve"> A aplicação desta Resolução observará os limites de despesa com pessoal, a legislação orçamentária, e as demais normas de responsabilidade fiscal vigentes.</w:t>
      </w:r>
    </w:p>
    <w:p w14:paraId="56A74146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Caberá a Coordenadoria de Recursos Humanos da Câmara Municipal efetuar o controle e registro da efetiva contagem de tempo do período aquisitivo de que trata o art. 1º desta Resolução, possibilitando os reflexos na vida funcional dos servidores e nas folhas de pagamento.</w:t>
      </w:r>
    </w:p>
    <w:p w14:paraId="697FF205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5C0B37">
        <w:rPr>
          <w:rFonts w:ascii="Times New Roman" w:hAnsi="Times New Roman" w:cs="Times New Roman"/>
          <w:sz w:val="24"/>
          <w:szCs w:val="24"/>
        </w:rPr>
        <w:t>Nos termos do art. 8º-A da Lei Complementar nº 173/2020, com redação dada pela Lei Complementar nº 226/2026, a autorização de pagamentos retroativos relacionados à contagem de tempo de que trata esta Resolução dependerá de Ato da Mesa Diretora, com a posterior regulamentação que será editada no mês de outubro do corrente ano.</w:t>
      </w:r>
    </w:p>
    <w:p w14:paraId="6C74909E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Art.4º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Em cumprimento ao disposto no §1º do Art. 29ª da Constituição Federal, os valores a serem pagos referente a aplicação dessa lei não poderão ultrapassar 65% da receita anual da Câmara de Itapevi</w:t>
      </w:r>
    </w:p>
    <w:p w14:paraId="4EDCDF54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§1º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Para o cálculo do limite citado no caput será considerado o somatório do valor das despesas de pessoal mensais com os valores a serem pagos referente ao Descongela.</w:t>
      </w:r>
    </w:p>
    <w:p w14:paraId="0A7082F1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5C20D5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Os valores apurados a serem devolvidos bimestralmente, em cumprimento a Resolução nº 016/2024 e Nota Técnica nº 167/2021 do TCE-SP, deverão ser alocados conforme determina o Art. 6º da citada Resolução.</w:t>
      </w:r>
    </w:p>
    <w:p w14:paraId="7E645794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Os efeitos financeiros decorrentes da aplicação desta Resolução serão precedidos de estudos técnicos de impacto orçamentário e financeiro.</w:t>
      </w:r>
    </w:p>
    <w:p w14:paraId="6A80BE8D" w14:textId="77777777" w:rsidR="005C0B37" w:rsidRP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7º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14:paraId="681B15BD" w14:textId="77777777" w:rsidR="005C0B37" w:rsidRDefault="005C0B37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 w:rsidRPr="00054F5F">
        <w:rPr>
          <w:rFonts w:ascii="Times New Roman" w:hAnsi="Times New Roman" w:cs="Times New Roman"/>
          <w:b/>
          <w:bCs/>
          <w:sz w:val="24"/>
          <w:szCs w:val="24"/>
        </w:rPr>
        <w:t>Art. 8º</w:t>
      </w:r>
      <w:r w:rsidRPr="005C0B37">
        <w:rPr>
          <w:rFonts w:ascii="Times New Roman" w:hAnsi="Times New Roman" w:cs="Times New Roman"/>
          <w:sz w:val="24"/>
          <w:szCs w:val="24"/>
        </w:rPr>
        <w:t xml:space="preserve"> Revogam-se as disposições em contrário.</w:t>
      </w:r>
    </w:p>
    <w:p w14:paraId="1E869AB3" w14:textId="7777777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9E562" w14:textId="6AA8C46B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das Sessões Bemvindo Moreira Nery, 11 de junho de 2026.</w:t>
      </w:r>
    </w:p>
    <w:p w14:paraId="54C0AF40" w14:textId="77777777" w:rsidR="00054F5F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38A94C73" w14:textId="77777777">
        <w:tc>
          <w:tcPr>
            <w:tcW w:w="9344" w:type="dxa"/>
            <w:gridSpan w:val="2"/>
          </w:tcPr>
          <w:p w14:paraId="1069F40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4BC26783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7C09D950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2D24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1ECE0E1E" w14:textId="77777777">
        <w:tc>
          <w:tcPr>
            <w:tcW w:w="4672" w:type="dxa"/>
          </w:tcPr>
          <w:p w14:paraId="51E6B82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1B32E0D2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09E7A46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B655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628B13CA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0C83292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2FA40D40" w14:textId="77777777">
        <w:tc>
          <w:tcPr>
            <w:tcW w:w="4672" w:type="dxa"/>
            <w:hideMark/>
          </w:tcPr>
          <w:p w14:paraId="620045A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3F7DE134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B355C2F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291E5E2D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0D0FBBCB" w14:textId="77777777" w:rsidR="00054F5F" w:rsidRPr="00054F5F" w:rsidRDefault="00054F5F" w:rsidP="00054F5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4255A03" w14:textId="77777777" w:rsidR="00054F5F" w:rsidRPr="005C0B37" w:rsidRDefault="00054F5F" w:rsidP="005C0B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BDE640" w14:textId="77777777" w:rsidR="00054F5F" w:rsidRDefault="00054F5F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1DF0CA" w14:textId="5E5B183E" w:rsidR="005C0B37" w:rsidRDefault="005C0B37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B37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0C48D477" w14:textId="77777777" w:rsidR="00054F5F" w:rsidRPr="005C0B37" w:rsidRDefault="00054F5F" w:rsidP="00054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B5C43" w14:textId="77777777" w:rsidR="005C0B37" w:rsidRPr="005C0B37" w:rsidRDefault="005C0B37" w:rsidP="00054F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>Considerando a Lei Complementar nº 226, de 12 de janeiro de 2026, publicada no Diário Oficial da União em 13 de janeiro de 2026, que altera a Lei Complementar nº 173, de 27 de maio de 2020, para prever a autorização de pagamentos retroativos de anuênio, triênio, quinquênio, sexta-parte, licença-prêmio e demais mecanismos equivalentes ao quadro de pessoal de entes federativos que decretaram estado de calamidade pública decorrente da pandemia da covid-19;</w:t>
      </w:r>
    </w:p>
    <w:p w14:paraId="25FF38F4" w14:textId="77777777" w:rsidR="005C0B37" w:rsidRPr="005C0B37" w:rsidRDefault="005C0B37" w:rsidP="00054F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>Que a citada lei, em seu art. 3º, revoga o inciso IX do caput do art. 8º da Lei Complementar nº 173, de 27 de maio de 2020, que impedia a contagem de tempo do período compreendido entre 28 de maio de 2020 e 31 de dezembro de 2021 como de período aquisitivo necessário para a concessão de anuênios, triênios, quinquênios, licenças-prêmio e demais mecanismos equivalentes que aumentem a despesa com pessoal em decorrência da aquisição de determinado tempo de serviço.</w:t>
      </w:r>
    </w:p>
    <w:p w14:paraId="4B38AE7A" w14:textId="77777777" w:rsidR="005C0B37" w:rsidRPr="005C0B37" w:rsidRDefault="005C0B37" w:rsidP="00054F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B37">
        <w:rPr>
          <w:rFonts w:ascii="Times New Roman" w:hAnsi="Times New Roman" w:cs="Times New Roman"/>
          <w:sz w:val="24"/>
          <w:szCs w:val="24"/>
        </w:rPr>
        <w:t>Faz- se necessário oficializar tal contagem de tempo no âmbito da Câmara Municipal de Itapevi, garantindo segurança jurídica, transparência e isonomia entre os servidores;</w:t>
      </w:r>
    </w:p>
    <w:p w14:paraId="588A53E3" w14:textId="77777777" w:rsidR="005C0B37" w:rsidRPr="005C0B37" w:rsidRDefault="005C0B37" w:rsidP="00054F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B6F99F" w14:textId="77777777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11 de junho de 2026.</w:t>
      </w:r>
    </w:p>
    <w:p w14:paraId="46932380" w14:textId="77777777" w:rsidR="00054F5F" w:rsidRDefault="00054F5F" w:rsidP="00054F5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54F5F" w:rsidRPr="00054F5F" w14:paraId="44733874" w14:textId="77777777" w:rsidTr="004F7D9A">
        <w:tc>
          <w:tcPr>
            <w:tcW w:w="9344" w:type="dxa"/>
            <w:gridSpan w:val="2"/>
          </w:tcPr>
          <w:p w14:paraId="15C5BE11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5E196079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0E96FB0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299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4F5F" w:rsidRPr="00054F5F" w14:paraId="0014D989" w14:textId="77777777" w:rsidTr="004F7D9A">
        <w:tc>
          <w:tcPr>
            <w:tcW w:w="4672" w:type="dxa"/>
          </w:tcPr>
          <w:p w14:paraId="13498B24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076BA51F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7AA3CDA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D3F9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  <w:hideMark/>
          </w:tcPr>
          <w:p w14:paraId="70ACD6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319D716B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054F5F" w:rsidRPr="00054F5F" w14:paraId="4A760813" w14:textId="77777777" w:rsidTr="004F7D9A">
        <w:tc>
          <w:tcPr>
            <w:tcW w:w="4672" w:type="dxa"/>
            <w:hideMark/>
          </w:tcPr>
          <w:p w14:paraId="3AEA1112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409DB123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7CA16BC5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57B05F86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F5F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244D745E" w14:textId="77777777" w:rsidR="00054F5F" w:rsidRPr="00054F5F" w:rsidRDefault="00054F5F" w:rsidP="004F7D9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BAB65CE" w14:textId="77777777" w:rsidR="008C45BE" w:rsidRPr="005C0B37" w:rsidRDefault="008C45BE" w:rsidP="00AE1AAB">
      <w:pPr>
        <w:rPr>
          <w:rFonts w:ascii="Times New Roman" w:hAnsi="Times New Roman" w:cs="Times New Roman"/>
          <w:sz w:val="24"/>
          <w:szCs w:val="24"/>
        </w:rPr>
      </w:pPr>
    </w:p>
    <w:sectPr w:rsidR="008C45BE" w:rsidRPr="005C0B37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0C1ED" w14:textId="77777777" w:rsidR="005E415B" w:rsidRDefault="005E415B">
      <w:pPr>
        <w:spacing w:after="0" w:line="240" w:lineRule="auto"/>
      </w:pPr>
      <w:r>
        <w:separator/>
      </w:r>
    </w:p>
  </w:endnote>
  <w:endnote w:type="continuationSeparator" w:id="0">
    <w:p w14:paraId="1FC8624E" w14:textId="77777777" w:rsidR="005E415B" w:rsidRDefault="005E4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EB023" w14:textId="77777777" w:rsidR="005E415B" w:rsidRDefault="005E415B">
      <w:pPr>
        <w:spacing w:after="0" w:line="240" w:lineRule="auto"/>
      </w:pPr>
      <w:r>
        <w:separator/>
      </w:r>
    </w:p>
  </w:footnote>
  <w:footnote w:type="continuationSeparator" w:id="0">
    <w:p w14:paraId="0A5A2BDE" w14:textId="77777777" w:rsidR="005E415B" w:rsidRDefault="005E4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72146C10">
          <wp:simplePos x="0" y="0"/>
          <wp:positionH relativeFrom="page">
            <wp:posOffset>7620</wp:posOffset>
          </wp:positionH>
          <wp:positionV relativeFrom="paragraph">
            <wp:posOffset>-1311487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52F7"/>
    <w:rsid w:val="0001353D"/>
    <w:rsid w:val="00034BC5"/>
    <w:rsid w:val="00054F5F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56642"/>
    <w:rsid w:val="001605C4"/>
    <w:rsid w:val="00186CB1"/>
    <w:rsid w:val="001874C4"/>
    <w:rsid w:val="001B3EBC"/>
    <w:rsid w:val="001D5DE5"/>
    <w:rsid w:val="001E6362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B156F"/>
    <w:rsid w:val="005C0B37"/>
    <w:rsid w:val="005E415B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C44E3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E6C53"/>
    <w:rsid w:val="009F009E"/>
    <w:rsid w:val="009F1BB0"/>
    <w:rsid w:val="00A01F45"/>
    <w:rsid w:val="00A114F0"/>
    <w:rsid w:val="00A16975"/>
    <w:rsid w:val="00A34767"/>
    <w:rsid w:val="00A36037"/>
    <w:rsid w:val="00A42A56"/>
    <w:rsid w:val="00A430EF"/>
    <w:rsid w:val="00A86C58"/>
    <w:rsid w:val="00AE1302"/>
    <w:rsid w:val="00AE1AAB"/>
    <w:rsid w:val="00B31615"/>
    <w:rsid w:val="00B62BB5"/>
    <w:rsid w:val="00B91DC3"/>
    <w:rsid w:val="00BA410E"/>
    <w:rsid w:val="00BB295F"/>
    <w:rsid w:val="00BB799F"/>
    <w:rsid w:val="00BC229F"/>
    <w:rsid w:val="00BC3D78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A21E1"/>
    <w:rsid w:val="00CB021B"/>
    <w:rsid w:val="00CC7805"/>
    <w:rsid w:val="00CF2272"/>
    <w:rsid w:val="00D162DE"/>
    <w:rsid w:val="00D26633"/>
    <w:rsid w:val="00D27B35"/>
    <w:rsid w:val="00D4368A"/>
    <w:rsid w:val="00D53BC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261CF"/>
    <w:rsid w:val="00F31551"/>
    <w:rsid w:val="00F60190"/>
    <w:rsid w:val="00F61F28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F5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5</cp:revision>
  <cp:lastPrinted>2026-05-26T19:56:00Z</cp:lastPrinted>
  <dcterms:created xsi:type="dcterms:W3CDTF">2026-06-12T13:30:00Z</dcterms:created>
  <dcterms:modified xsi:type="dcterms:W3CDTF">2026-06-12T19:06:00Z</dcterms:modified>
</cp:coreProperties>
</file>