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1E73A6F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B6270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7F7150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7D01F74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33A4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7F7150">
        <w:rPr>
          <w:rFonts w:ascii="Times New Roman" w:hAnsi="Times New Roman" w:cs="Times New Roman"/>
          <w:b/>
          <w:bCs/>
          <w:sz w:val="24"/>
          <w:szCs w:val="24"/>
          <w:u w:val="single"/>
        </w:rPr>
        <w:t>34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F07C75">
      <w:pPr>
        <w:tabs>
          <w:tab w:val="left" w:pos="2835"/>
        </w:tabs>
        <w:spacing w:line="360" w:lineRule="auto"/>
        <w:rPr>
          <w:rFonts w:ascii="Courier New" w:hAnsi="Courier New" w:cs="Courier New"/>
          <w:sz w:val="24"/>
          <w:szCs w:val="24"/>
        </w:rPr>
      </w:pPr>
    </w:p>
    <w:p w14:paraId="67DC36C9" w14:textId="515E2949" w:rsidR="00F07C75" w:rsidRDefault="007F7150" w:rsidP="00CD1A76">
      <w:pPr>
        <w:autoSpaceDE w:val="0"/>
        <w:autoSpaceDN w:val="0"/>
        <w:adjustRightInd w:val="0"/>
        <w:spacing w:after="0"/>
        <w:ind w:left="2832" w:firstLine="48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7F7150">
        <w:rPr>
          <w:rFonts w:ascii="TimesNewRomanPSMT" w:hAnsi="TimesNewRomanPSMT" w:cs="TimesNewRomanPSMT"/>
          <w:sz w:val="24"/>
          <w:szCs w:val="24"/>
        </w:rPr>
        <w:t xml:space="preserve">Dispõe sobre a inclusão do </w:t>
      </w:r>
      <w:r>
        <w:rPr>
          <w:rFonts w:ascii="TimesNewRomanPSMT" w:hAnsi="TimesNewRomanPSMT" w:cs="TimesNewRomanPSMT"/>
          <w:sz w:val="24"/>
          <w:szCs w:val="24"/>
        </w:rPr>
        <w:t>P</w:t>
      </w:r>
      <w:r w:rsidRPr="007F7150">
        <w:rPr>
          <w:rFonts w:ascii="TimesNewRomanPSMT" w:hAnsi="TimesNewRomanPSMT" w:cs="TimesNewRomanPSMT"/>
          <w:sz w:val="24"/>
          <w:szCs w:val="24"/>
        </w:rPr>
        <w:t>rograma de</w:t>
      </w:r>
      <w:r>
        <w:rPr>
          <w:rFonts w:ascii="TimesNewRomanPSMT" w:hAnsi="TimesNewRomanPSMT" w:cs="TimesNewRomanPSMT"/>
          <w:sz w:val="24"/>
          <w:szCs w:val="24"/>
        </w:rPr>
        <w:t xml:space="preserve"> E</w:t>
      </w:r>
      <w:r w:rsidRPr="007F7150">
        <w:rPr>
          <w:rFonts w:ascii="TimesNewRomanPSMT" w:hAnsi="TimesNewRomanPSMT" w:cs="TimesNewRomanPSMT"/>
          <w:sz w:val="24"/>
          <w:szCs w:val="24"/>
        </w:rPr>
        <w:t xml:space="preserve">ducação </w:t>
      </w:r>
      <w:r>
        <w:rPr>
          <w:rFonts w:ascii="TimesNewRomanPSMT" w:hAnsi="TimesNewRomanPSMT" w:cs="TimesNewRomanPSMT"/>
          <w:sz w:val="24"/>
          <w:szCs w:val="24"/>
        </w:rPr>
        <w:t>A</w:t>
      </w:r>
      <w:r w:rsidRPr="007F7150">
        <w:rPr>
          <w:rFonts w:ascii="TimesNewRomanPSMT" w:hAnsi="TimesNewRomanPSMT" w:cs="TimesNewRomanPSMT"/>
          <w:sz w:val="24"/>
          <w:szCs w:val="24"/>
        </w:rPr>
        <w:t xml:space="preserve">mbiental e </w:t>
      </w:r>
      <w:r>
        <w:rPr>
          <w:rFonts w:ascii="TimesNewRomanPSMT" w:hAnsi="TimesNewRomanPSMT" w:cs="TimesNewRomanPSMT"/>
          <w:sz w:val="24"/>
          <w:szCs w:val="24"/>
        </w:rPr>
        <w:t>D</w:t>
      </w:r>
      <w:r w:rsidRPr="007F7150">
        <w:rPr>
          <w:rFonts w:ascii="TimesNewRomanPSMT" w:hAnsi="TimesNewRomanPSMT" w:cs="TimesNewRomanPSMT"/>
          <w:sz w:val="24"/>
          <w:szCs w:val="24"/>
        </w:rPr>
        <w:t>esenvolvimento</w:t>
      </w:r>
      <w:r>
        <w:rPr>
          <w:rFonts w:ascii="TimesNewRomanPSMT" w:hAnsi="TimesNewRomanPSMT" w:cs="TimesNewRomanPSMT"/>
          <w:sz w:val="24"/>
          <w:szCs w:val="24"/>
        </w:rPr>
        <w:t xml:space="preserve"> S</w:t>
      </w:r>
      <w:r w:rsidRPr="007F7150">
        <w:rPr>
          <w:rFonts w:ascii="TimesNewRomanPSMT" w:hAnsi="TimesNewRomanPSMT" w:cs="TimesNewRomanPSMT"/>
          <w:sz w:val="24"/>
          <w:szCs w:val="24"/>
        </w:rPr>
        <w:t>ustentável no conteúdo programático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7F7150">
        <w:rPr>
          <w:rFonts w:ascii="TimesNewRomanPSMT" w:hAnsi="TimesNewRomanPSMT" w:cs="TimesNewRomanPSMT"/>
          <w:sz w:val="24"/>
          <w:szCs w:val="24"/>
        </w:rPr>
        <w:t>do ensino fundamental da rede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7F7150">
        <w:rPr>
          <w:rFonts w:ascii="TimesNewRomanPSMT" w:hAnsi="TimesNewRomanPSMT" w:cs="TimesNewRomanPSMT"/>
          <w:sz w:val="24"/>
          <w:szCs w:val="24"/>
        </w:rPr>
        <w:t xml:space="preserve">municipal de ensino de </w:t>
      </w:r>
      <w:r>
        <w:rPr>
          <w:rFonts w:ascii="TimesNewRomanPSMT" w:hAnsi="TimesNewRomanPSMT" w:cs="TimesNewRomanPSMT"/>
          <w:sz w:val="24"/>
          <w:szCs w:val="24"/>
        </w:rPr>
        <w:t>I</w:t>
      </w:r>
      <w:r w:rsidRPr="007F7150">
        <w:rPr>
          <w:rFonts w:ascii="TimesNewRomanPSMT" w:hAnsi="TimesNewRomanPSMT" w:cs="TimesNewRomanPSMT"/>
          <w:sz w:val="24"/>
          <w:szCs w:val="24"/>
        </w:rPr>
        <w:t>tapevi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Pr="007F7150">
        <w:rPr>
          <w:rFonts w:ascii="TimesNewRomanPSMT" w:hAnsi="TimesNewRomanPSMT" w:cs="TimesNewRomanPSMT"/>
          <w:sz w:val="24"/>
          <w:szCs w:val="24"/>
        </w:rPr>
        <w:t>.</w:t>
      </w:r>
    </w:p>
    <w:p w14:paraId="0BF622FE" w14:textId="77777777" w:rsidR="007F7150" w:rsidRPr="00F07C75" w:rsidRDefault="007F7150" w:rsidP="00CD1A76">
      <w:pPr>
        <w:autoSpaceDE w:val="0"/>
        <w:autoSpaceDN w:val="0"/>
        <w:adjustRightInd w:val="0"/>
        <w:spacing w:after="0"/>
        <w:ind w:left="2832" w:firstLine="48"/>
        <w:rPr>
          <w:rFonts w:ascii="TimesNewRomanPSMT" w:hAnsi="TimesNewRomanPSMT" w:cs="TimesNewRomanPSMT"/>
          <w:sz w:val="24"/>
          <w:szCs w:val="24"/>
        </w:rPr>
      </w:pPr>
    </w:p>
    <w:p w14:paraId="017B188D" w14:textId="0FA616FD" w:rsidR="00F54DA9" w:rsidRDefault="00192BC5" w:rsidP="00CD1A76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7F7150"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6D9D7EA1" w14:textId="77777777" w:rsidR="00CD1A76" w:rsidRDefault="00CD1A76" w:rsidP="00CD1A76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1F91B7B7" w14:textId="389BE240" w:rsidR="00CD1A76" w:rsidRDefault="00CD1A76" w:rsidP="00CD1A76">
      <w:pPr>
        <w:spacing w:after="0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AFONSO DA SILVA – REPUBLICANOS E MARINA DE CASTRO DORNELLAS – UNIÃO.</w:t>
      </w:r>
    </w:p>
    <w:p w14:paraId="2C3BDA3A" w14:textId="2010FBEC" w:rsidR="008D1F4C" w:rsidRPr="00F05D99" w:rsidRDefault="008D1F4C" w:rsidP="00CD1A76">
      <w:pPr>
        <w:spacing w:after="0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CD1A76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CD1A76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610BFD7" w14:textId="66A6F368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autorizado o Executivo Municipal a incluir no conteúdo programático, noções de Educação Ambiental e Desenvolvimento Sustentável no Ensino Fundamental da Rede Municipal de Ensino de Itapevi.</w:t>
      </w:r>
    </w:p>
    <w:p w14:paraId="5D363AFA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6B9C62BC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 w:rsidRPr="007F7150">
        <w:rPr>
          <w:rFonts w:ascii="TimesNewRomanPSMT" w:hAnsi="TimesNewRomanPSMT" w:cs="TimesNewRomanPSMT"/>
          <w:b/>
          <w:bCs/>
          <w:sz w:val="24"/>
          <w:szCs w:val="24"/>
        </w:rPr>
        <w:t>Parágrafo único.</w:t>
      </w:r>
      <w:r>
        <w:rPr>
          <w:rFonts w:ascii="TimesNewRomanPSMT" w:hAnsi="TimesNewRomanPSMT" w:cs="TimesNewRomanPSMT"/>
          <w:sz w:val="24"/>
          <w:szCs w:val="24"/>
        </w:rPr>
        <w:t xml:space="preserve"> O tema a que se refere o caput deste artigo poderá ser incluído na forma de</w:t>
      </w:r>
    </w:p>
    <w:p w14:paraId="23BA8587" w14:textId="588AD419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disciplina, curso extracurricular ou incorporado junto às disciplinas da grade curricular obrigatória que guardem pertinência temática.</w:t>
      </w:r>
    </w:p>
    <w:p w14:paraId="1A28AEEC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396191DA" w14:textId="317113F8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Programa Municipal de Educação Ambiental e Desenvolvimento Sustentável terá como diretriz o desenvolvimento de temas específicos do Município, vivenciados pela população e que exercem influência na qualidade de vida das pessoas, em especial a biodiversidade, o combate à poluição, a preservação dos recursos hídricos, o consumo sustentável, o uso racional da água, a importância do saneamento básico, resíduos sólidos, mobilidade e arborização urbana.</w:t>
      </w:r>
    </w:p>
    <w:p w14:paraId="5F07ADC0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6F251FE6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São linhas de ação o Programa Municipal de Educação Ambiental e Desenvolvimento</w:t>
      </w:r>
    </w:p>
    <w:p w14:paraId="7E45B43C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Sustentável:</w:t>
      </w:r>
    </w:p>
    <w:p w14:paraId="03149997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53206166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A aprendizagem com a natureza, por meio de visitas interativas e sensoriais em espaços</w:t>
      </w:r>
    </w:p>
    <w:p w14:paraId="1C456CC9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naturais, como parques, bosques, mata ciliar, rios, entre outros;</w:t>
      </w:r>
    </w:p>
    <w:p w14:paraId="2E6B0F9F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A aprendizagem sobre Áreas Verdes e Unidades de Conservação;</w:t>
      </w:r>
    </w:p>
    <w:p w14:paraId="5C430DDE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O ensino sobre descarte seletivo adequado de resíduos;</w:t>
      </w:r>
    </w:p>
    <w:p w14:paraId="1377E5F4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O incentivo à reciclagem e destinação ambientalmente adequada dos resíduos;</w:t>
      </w:r>
    </w:p>
    <w:p w14:paraId="4C6D9053" w14:textId="4AD93D33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V – O incentivo à proteção da fauna e flora, bem como a preservação e proteção de nascentes e matas ciliares de córregos e rios no âmbito do Município, com a intenção de promover a sustentabilidade social e econômica;</w:t>
      </w:r>
    </w:p>
    <w:p w14:paraId="2246A4C8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 – Atividades educativas com enfoque na difusão de técnicas de boas práticas agroambientais;</w:t>
      </w:r>
    </w:p>
    <w:p w14:paraId="41118B8F" w14:textId="58D031E9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VII – Atividades educativas sobre hortas comunitárias, compostagem e sensibilização aos modelos de consumo sustentável na sociedade;</w:t>
      </w:r>
    </w:p>
    <w:p w14:paraId="5923CAC2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VIII – Ações educativas de combate à poluição;</w:t>
      </w:r>
    </w:p>
    <w:p w14:paraId="4D265E33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IX – Ações educativas sobre saneamento básico e desigualdades sociais.</w:t>
      </w:r>
    </w:p>
    <w:p w14:paraId="15B5BFDD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567E6228" w14:textId="44FBD364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594593">
        <w:rPr>
          <w:rFonts w:ascii="TimesNewRomanPS-BoldMT" w:hAnsi="TimesNewRomanPS-BoldMT" w:cs="TimesNewRomanPS-BoldMT"/>
          <w:b/>
          <w:bCs/>
          <w:sz w:val="24"/>
          <w:szCs w:val="24"/>
        </w:rPr>
        <w:t>4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>
        <w:rPr>
          <w:rFonts w:ascii="TimesNewRomanPSMT" w:hAnsi="TimesNewRomanPSMT" w:cs="TimesNewRomanPSMT"/>
          <w:sz w:val="24"/>
          <w:szCs w:val="24"/>
        </w:rPr>
        <w:t>Para a execução desta Lei fica o Executivo Municipal autorizado a celebrar convênios e parcerias com Órgãos e Entidades Públicas da esfera Federal ou Estadual, bem como com entidades da iniciativa privada pertinentes ao tema.</w:t>
      </w:r>
    </w:p>
    <w:p w14:paraId="17EB54B2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0906CC92" w14:textId="18092592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594593">
        <w:rPr>
          <w:rFonts w:ascii="TimesNewRomanPS-BoldMT" w:hAnsi="TimesNewRomanPS-BoldMT" w:cs="TimesNewRomanPS-BoldMT"/>
          <w:b/>
          <w:bCs/>
          <w:sz w:val="24"/>
          <w:szCs w:val="24"/>
        </w:rPr>
        <w:t>5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>
        <w:rPr>
          <w:rFonts w:ascii="TimesNewRomanPSMT" w:hAnsi="TimesNewRomanPSMT" w:cs="TimesNewRomanPSMT"/>
          <w:sz w:val="24"/>
          <w:szCs w:val="24"/>
        </w:rPr>
        <w:t>O Poder Executivo deverá regulamentar a execução do Programa Municipal de Educação Ambiental e Desenvolvimento Sustentável por meio de Decreto Municipal num prazo de 90 dias.</w:t>
      </w:r>
    </w:p>
    <w:p w14:paraId="79FED120" w14:textId="77777777" w:rsidR="007F7150" w:rsidRDefault="007F7150" w:rsidP="00CD1A76">
      <w:pPr>
        <w:autoSpaceDE w:val="0"/>
        <w:autoSpaceDN w:val="0"/>
        <w:adjustRightInd w:val="0"/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1411073F" w14:textId="03B9D8BA" w:rsidR="007F7150" w:rsidRPr="00547772" w:rsidRDefault="007F7150" w:rsidP="00CD1A76">
      <w:pPr>
        <w:tabs>
          <w:tab w:val="left" w:pos="975"/>
        </w:tabs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594593">
        <w:rPr>
          <w:rFonts w:ascii="TimesNewRomanPS-BoldMT" w:hAnsi="TimesNewRomanPS-BoldMT" w:cs="TimesNewRomanPS-BoldMT"/>
          <w:b/>
          <w:bCs/>
          <w:sz w:val="24"/>
          <w:szCs w:val="24"/>
        </w:rPr>
        <w:t>6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4098A78E" w14:textId="77777777" w:rsidR="00CD1A76" w:rsidRDefault="00CD1A76" w:rsidP="00CD1A76">
      <w:pPr>
        <w:tabs>
          <w:tab w:val="left" w:pos="975"/>
        </w:tabs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17F4C96B" w:rsidR="00E06A66" w:rsidRPr="001278C3" w:rsidRDefault="0078486B" w:rsidP="007F715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7F7150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14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A33D9" w14:textId="77777777" w:rsidR="00297E77" w:rsidRDefault="00297E77" w:rsidP="004B11B6">
      <w:pPr>
        <w:spacing w:after="0" w:line="240" w:lineRule="auto"/>
      </w:pPr>
      <w:r>
        <w:separator/>
      </w:r>
    </w:p>
  </w:endnote>
  <w:endnote w:type="continuationSeparator" w:id="0">
    <w:p w14:paraId="1F697551" w14:textId="77777777" w:rsidR="00297E77" w:rsidRDefault="00297E7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97E7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8799B" w14:textId="77777777" w:rsidR="00297E77" w:rsidRDefault="00297E77" w:rsidP="004B11B6">
      <w:pPr>
        <w:spacing w:after="0" w:line="240" w:lineRule="auto"/>
      </w:pPr>
      <w:r>
        <w:separator/>
      </w:r>
    </w:p>
  </w:footnote>
  <w:footnote w:type="continuationSeparator" w:id="0">
    <w:p w14:paraId="0D2D3769" w14:textId="77777777" w:rsidR="00297E77" w:rsidRDefault="00297E7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97E77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97E77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97E77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B52C0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46E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97E77"/>
    <w:rsid w:val="002A0D4C"/>
    <w:rsid w:val="002A26DB"/>
    <w:rsid w:val="002A59D2"/>
    <w:rsid w:val="002B0C80"/>
    <w:rsid w:val="002C2A63"/>
    <w:rsid w:val="002C5F5F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52D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772"/>
    <w:rsid w:val="00547CB5"/>
    <w:rsid w:val="00564DC5"/>
    <w:rsid w:val="005669C9"/>
    <w:rsid w:val="00567711"/>
    <w:rsid w:val="00574428"/>
    <w:rsid w:val="00583179"/>
    <w:rsid w:val="00590BAC"/>
    <w:rsid w:val="00594593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F7150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B6270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1A76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07C75"/>
    <w:rsid w:val="00F169AA"/>
    <w:rsid w:val="00F31833"/>
    <w:rsid w:val="00F42DC6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913B4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474</Words>
  <Characters>2705</Characters>
  <Application>Microsoft Office Word</Application>
  <DocSecurity>0</DocSecurity>
  <Lines>71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2026-04-14T13:56:00Z</dcterms:created>
  <dcterms:modified xsi:type="dcterms:W3CDTF">2026-04-15T16:09:00Z</dcterms:modified>
</cp:coreProperties>
</file>