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BD6409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AC6C1D">
        <w:rPr>
          <w:b/>
        </w:rPr>
        <w:t>8</w:t>
      </w:r>
      <w:r w:rsidR="001D0AD0">
        <w:rPr>
          <w:b/>
        </w:rPr>
        <w:t>1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AC6C1D" w:rsidP="00BB78DD" w14:paraId="26468C48" w14:textId="0D0530B3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>
        <w:rPr>
          <w:b/>
        </w:rPr>
        <w:t>0</w:t>
      </w:r>
      <w:r w:rsidR="001D0AD0">
        <w:rPr>
          <w:b/>
        </w:rPr>
        <w:t>48</w:t>
      </w:r>
      <w:r w:rsidR="00742724">
        <w:rPr>
          <w:b/>
        </w:rPr>
        <w:t>/202</w:t>
      </w:r>
      <w:r>
        <w:rPr>
          <w:b/>
        </w:rPr>
        <w:t>6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8817B6">
        <w:rPr>
          <w:b/>
          <w:bCs/>
        </w:rPr>
        <w:t xml:space="preserve">a </w:t>
      </w:r>
      <w:r>
        <w:rPr>
          <w:b/>
          <w:bCs/>
        </w:rPr>
        <w:t xml:space="preserve">Priscilla Souza Mariano </w:t>
      </w:r>
      <w:r>
        <w:rPr>
          <w:b/>
          <w:bCs/>
        </w:rPr>
        <w:t>Cavanha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1D0AD0">
        <w:t>dispõe sobre a obrigatoriedade de utilizar faixas ou banners com mensagens de conscientização de combate ao feminicídio nos eventos esportivos realizados pela Secretaria Municipal de Esportes nos espaços públicos do município de Itapevi, e dá outras providências.</w:t>
      </w:r>
    </w:p>
    <w:p w:rsidR="001D0AD0" w:rsidRPr="00DF63C0" w:rsidP="00BB78DD" w14:paraId="129DACD9" w14:textId="77777777">
      <w:pPr>
        <w:jc w:val="both"/>
      </w:pPr>
    </w:p>
    <w:p w:rsidR="008817B6" w:rsidP="00BB78DD" w14:paraId="14681DFC" w14:textId="41876769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AC6C1D">
        <w:t>propor</w:t>
      </w:r>
      <w:r w:rsidR="001D0AD0">
        <w:t xml:space="preserve">  obrigar</w:t>
      </w:r>
      <w:r w:rsidR="001D0AD0">
        <w:t xml:space="preserve"> dizeres em faixas e banners.</w:t>
      </w:r>
    </w:p>
    <w:p w:rsidR="00AC6C1D" w:rsidP="00BB78DD" w14:paraId="0626F3AD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9C2CCC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1D0AD0">
      <w:rPr>
        <w:rFonts w:asciiTheme="majorHAnsi" w:eastAsiaTheme="majorEastAsia" w:hAnsiTheme="majorHAnsi" w:cstheme="majorBidi"/>
      </w:rPr>
      <w:t>48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86608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318</Words>
  <Characters>1800</Characters>
  <Application>Microsoft Office Word</Application>
  <DocSecurity>0</DocSecurity>
  <Lines>72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2026-04-06T16:53:00Z</dcterms:created>
  <dcterms:modified xsi:type="dcterms:W3CDTF">2026-04-06T16:53:00Z</dcterms:modified>
</cp:coreProperties>
</file>