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2A6FF2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</w:t>
      </w:r>
      <w:r w:rsidR="003D13B8">
        <w:rPr>
          <w:b/>
        </w:rPr>
        <w:t>6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E3959" w:rsidP="00BB78DD" w14:paraId="1243944C" w14:textId="7EF1299D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>
        <w:rPr>
          <w:b/>
        </w:rPr>
        <w:t>5</w:t>
      </w:r>
      <w:r w:rsidR="003D13B8">
        <w:rPr>
          <w:b/>
        </w:rPr>
        <w:t>4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a </w:t>
      </w:r>
      <w:r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3D13B8">
        <w:t>dispõe sobre instituir a implementação de sistemas de comunicação aumentativa e alternativa (CAA) nos espaços públicos, serviços de saúde e unidades educacionais do Município de Itapevi, em conformidade com a Lei Federal n.º 15.249, de 03 de novembro de 2025, e dá outras providências.</w:t>
      </w:r>
    </w:p>
    <w:p w:rsidR="003D13B8" w:rsidRPr="00DF63C0" w:rsidP="00BB78DD" w14:paraId="2EAD4CCF" w14:textId="77777777">
      <w:pPr>
        <w:jc w:val="both"/>
      </w:pPr>
    </w:p>
    <w:p w:rsidR="00673110" w:rsidP="00BB78DD" w14:paraId="41940969" w14:textId="66240DB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>
        <w:t xml:space="preserve"> </w:t>
      </w:r>
      <w:r w:rsidR="005E3959">
        <w:t>premiação de valor arrecadado, art.2º.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2E3648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73110">
      <w:rPr>
        <w:rFonts w:asciiTheme="majorHAnsi" w:eastAsiaTheme="majorEastAsia" w:hAnsiTheme="majorHAnsi" w:cstheme="majorBidi"/>
      </w:rPr>
      <w:t>0</w:t>
    </w:r>
    <w:r w:rsidR="005E3959">
      <w:rPr>
        <w:rFonts w:asciiTheme="majorHAnsi" w:eastAsiaTheme="majorEastAsia" w:hAnsiTheme="majorHAnsi" w:cstheme="majorBidi"/>
      </w:rPr>
      <w:t>5</w:t>
    </w:r>
    <w:r w:rsidR="003D13B8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7B5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1815</Characters>
  <Application>Microsoft Office Word</Application>
  <DocSecurity>0</DocSecurity>
  <Lines>72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2026-04-06T17:12:00Z</dcterms:created>
  <dcterms:modified xsi:type="dcterms:W3CDTF">2026-04-06T17:12:00Z</dcterms:modified>
</cp:coreProperties>
</file>