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E30B2C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CE6646">
        <w:rPr>
          <w:b/>
        </w:rPr>
        <w:t>3</w:t>
      </w:r>
      <w:r w:rsidR="00A275E2">
        <w:rPr>
          <w:b/>
        </w:rPr>
        <w:t>2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41A1A" w:rsidP="00BB78DD" w14:paraId="73EF6E80" w14:textId="08FC72BE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252937">
        <w:rPr>
          <w:b/>
        </w:rPr>
        <w:t>0</w:t>
      </w:r>
      <w:r w:rsidR="00A275E2">
        <w:rPr>
          <w:b/>
        </w:rPr>
        <w:t>20</w:t>
      </w:r>
      <w:r w:rsidR="00742724">
        <w:rPr>
          <w:b/>
        </w:rPr>
        <w:t>/202</w:t>
      </w:r>
      <w:r w:rsidR="00252937">
        <w:rPr>
          <w:b/>
        </w:rPr>
        <w:t>6</w:t>
      </w:r>
      <w:r w:rsidR="00195921">
        <w:t xml:space="preserve">, de autoria </w:t>
      </w:r>
      <w:r w:rsidR="00252937">
        <w:t>do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>
        <w:rPr>
          <w:b/>
          <w:bCs/>
        </w:rPr>
        <w:t xml:space="preserve"> </w:t>
      </w:r>
      <w:r w:rsidR="00252937">
        <w:rPr>
          <w:b/>
          <w:bCs/>
        </w:rPr>
        <w:t>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A275E2">
        <w:t xml:space="preserve">institui, no âmbito do Município de Itapevi, a Política Municipal de Proteção a Adultos com Transtornos Mentais Graves em Situação de </w:t>
      </w:r>
      <w:r w:rsidR="00A275E2">
        <w:t>Vulnerabilidade ,</w:t>
      </w:r>
      <w:r w:rsidR="00A275E2">
        <w:t xml:space="preserve"> denominada </w:t>
      </w:r>
      <w:r w:rsidR="00A275E2">
        <w:t>“ Lei</w:t>
      </w:r>
      <w:r w:rsidR="00A275E2">
        <w:t xml:space="preserve"> Gerson Machado</w:t>
      </w:r>
      <w:r w:rsidR="00A275E2">
        <w:t>” ,</w:t>
      </w:r>
      <w:r w:rsidR="00A275E2">
        <w:t xml:space="preserve"> e dá outras providências.</w:t>
      </w:r>
    </w:p>
    <w:p w:rsidR="00317266" w:rsidRPr="00DF63C0" w:rsidP="00BB78DD" w14:paraId="60A28D18" w14:textId="427468E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7844" w:rsidP="00BB78DD" w14:paraId="6FCA9340" w14:textId="735C8B97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propor</w:t>
      </w:r>
      <w:r w:rsidR="00410323">
        <w:t xml:space="preserve"> </w:t>
      </w:r>
      <w:r w:rsidR="002B01DE">
        <w:t>criar Cadastro Municipal, elaboração de Plano Individual de Cuidado, Programa Municipal de Residências Protegidas, ainda que na forma autorizativa.</w:t>
      </w:r>
    </w:p>
    <w:p w:rsidR="001A7844" w:rsidP="00BB78DD" w14:paraId="347AFE1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A8844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CE6646">
      <w:rPr>
        <w:rFonts w:asciiTheme="majorHAnsi" w:eastAsiaTheme="majorEastAsia" w:hAnsiTheme="majorHAnsi" w:cstheme="majorBidi"/>
      </w:rPr>
      <w:t>0</w:t>
    </w:r>
    <w:r w:rsidR="002B01DE">
      <w:rPr>
        <w:rFonts w:asciiTheme="majorHAnsi" w:eastAsiaTheme="majorEastAsia" w:hAnsiTheme="majorHAnsi" w:cstheme="majorBidi"/>
      </w:rPr>
      <w:t>20</w:t>
    </w:r>
    <w:r w:rsidR="00944079">
      <w:rPr>
        <w:rFonts w:asciiTheme="majorHAnsi" w:eastAsiaTheme="majorEastAsia" w:hAnsiTheme="majorHAnsi" w:cstheme="majorBidi"/>
      </w:rPr>
      <w:t>/2</w:t>
    </w:r>
    <w:r w:rsidR="00CE6646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422CA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2199</Characters>
  <Application>Microsoft Office Word</Application>
  <DocSecurity>0</DocSecurity>
  <Lines>84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2026-03-11T17:55:00Z</dcterms:created>
  <dcterms:modified xsi:type="dcterms:W3CDTF">2026-03-11T17:55:00Z</dcterms:modified>
</cp:coreProperties>
</file>