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BDFDCE8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4D3938">
        <w:rPr>
          <w:rFonts w:ascii="Times New Roman" w:hAnsi="Times New Roman" w:cs="Times New Roman"/>
          <w:b/>
          <w:bCs/>
          <w:sz w:val="24"/>
          <w:szCs w:val="24"/>
          <w:u w:val="single"/>
        </w:rPr>
        <w:t>14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E197EE4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16550">
        <w:rPr>
          <w:rFonts w:ascii="Times New Roman" w:hAnsi="Times New Roman" w:cs="Times New Roman"/>
          <w:b/>
          <w:bCs/>
          <w:sz w:val="24"/>
          <w:szCs w:val="24"/>
          <w:u w:val="single"/>
        </w:rPr>
        <w:t>528</w:t>
      </w:r>
      <w:r w:rsidR="00B84D44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E32B967" w14:textId="063459DC" w:rsidR="00B84D44" w:rsidRPr="007A284F" w:rsidRDefault="009852E5" w:rsidP="007A284F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52E5">
        <w:rPr>
          <w:rFonts w:ascii="Times New Roman" w:hAnsi="Times New Roman" w:cs="Times New Roman"/>
          <w:bCs/>
          <w:sz w:val="24"/>
          <w:szCs w:val="24"/>
        </w:rPr>
        <w:t>“Institui a Política Municipal de Conscientização</w:t>
      </w:r>
      <w:r w:rsidRPr="007A2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52E5">
        <w:rPr>
          <w:rFonts w:ascii="Times New Roman" w:hAnsi="Times New Roman" w:cs="Times New Roman"/>
          <w:bCs/>
          <w:sz w:val="24"/>
          <w:szCs w:val="24"/>
        </w:rPr>
        <w:t>e Prevenção à Alienação Parental no âmbito do Município de</w:t>
      </w:r>
      <w:r w:rsidRPr="007A2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52E5">
        <w:rPr>
          <w:rFonts w:ascii="Times New Roman" w:hAnsi="Times New Roman" w:cs="Times New Roman"/>
          <w:bCs/>
          <w:sz w:val="24"/>
          <w:szCs w:val="24"/>
        </w:rPr>
        <w:t>Itapevi, nos termos da Lei Federal nº 12.318/2010, e dá outras</w:t>
      </w:r>
      <w:r w:rsidRPr="007A284F">
        <w:rPr>
          <w:rFonts w:ascii="Times New Roman" w:hAnsi="Times New Roman" w:cs="Times New Roman"/>
          <w:bCs/>
          <w:sz w:val="24"/>
          <w:szCs w:val="24"/>
        </w:rPr>
        <w:t xml:space="preserve"> providências.”</w:t>
      </w:r>
    </w:p>
    <w:p w14:paraId="0635D7D6" w14:textId="77777777" w:rsidR="009852E5" w:rsidRPr="00C94FCA" w:rsidRDefault="009852E5" w:rsidP="009852E5">
      <w:pPr>
        <w:spacing w:after="0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D2966B6" w14:textId="1CABD90C" w:rsidR="00405525" w:rsidRDefault="00192BC5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314CA1">
        <w:rPr>
          <w:rFonts w:ascii="Times" w:hAnsi="Times" w:cs="Times New Roman"/>
          <w:b/>
          <w:sz w:val="24"/>
          <w:szCs w:val="24"/>
        </w:rPr>
        <w:t>THIAGO HENRIQUE CAMPAGNARO MOITINHO – MDB.</w:t>
      </w:r>
    </w:p>
    <w:p w14:paraId="48F8DD5C" w14:textId="77777777" w:rsidR="004D3938" w:rsidRDefault="004D3938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78ED79D6" w14:textId="72658E35" w:rsidR="004D3938" w:rsidRDefault="004D3938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  <w:t>COAUTORES: MARIZA MARTINS BORGES – PODEMOS E RAFAEL ALAN DE MORAES ROMEIRO – PODEMOS.</w:t>
      </w:r>
      <w:r>
        <w:rPr>
          <w:rFonts w:ascii="Times" w:hAnsi="Times" w:cs="Times New Roman"/>
          <w:b/>
          <w:sz w:val="24"/>
          <w:szCs w:val="24"/>
        </w:rPr>
        <w:tab/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314CA1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6EDD0E95" w14:textId="400B8191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instituída a Política Municipal de Conscientização e Prevenção à Alienação Parental no Município de Itapevi, em conformidade com o disposto na Lei Federal nº 12.318, de 26 de agosto de 2010.</w:t>
      </w:r>
    </w:p>
    <w:p w14:paraId="37D883E3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1855A99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São objetivos da Política Municipal de que trata esta Lei:</w:t>
      </w:r>
    </w:p>
    <w:p w14:paraId="1DD9B30B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FC0CD72" w14:textId="485A7FB6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Promover a conscientização da sociedade sobre os prejuízos e o trauma psicológico causados pela alienação parental em crianças e adolescentes;</w:t>
      </w:r>
    </w:p>
    <w:p w14:paraId="3C83F5CE" w14:textId="4FBEE530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Fomentar a cultura da guarda compartilhada e da convivência familiar saudável após a dissolução da sociedade conjugal;</w:t>
      </w:r>
    </w:p>
    <w:p w14:paraId="33C91D05" w14:textId="54CE609D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Incentivar a utilização de métodos de solução consensual de conflitos, como a mediação, em disputas familiares que envolvam guarda de menores;</w:t>
      </w:r>
    </w:p>
    <w:p w14:paraId="7FDBE223" w14:textId="0A9F490D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- Estimular a integração e a comunicação entre os órgãos da rede de proteção à criança e ao adolescente, como Conselhos Tutelares, CRAS, CREAS, unidades de saúde e escolas municipais, para a identificação precoce de indícios de alienação parental.</w:t>
      </w:r>
    </w:p>
    <w:p w14:paraId="01AA0498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17F5FE3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São diretrizes para a implementação desta política:</w:t>
      </w:r>
    </w:p>
    <w:p w14:paraId="0947A379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E8E5503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A promoção de debates, seminários e campanhas informativas, especialmente durante a</w:t>
      </w:r>
    </w:p>
    <w:p w14:paraId="35605438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"Semana de Conscientização sobre a Alienação Parental" já instituída no calendário oficial do</w:t>
      </w:r>
    </w:p>
    <w:p w14:paraId="0B30EA55" w14:textId="336BBE8F" w:rsidR="00314CA1" w:rsidRDefault="007A284F" w:rsidP="007A284F">
      <w:pPr>
        <w:tabs>
          <w:tab w:val="left" w:pos="975"/>
        </w:tabs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Município;</w:t>
      </w:r>
    </w:p>
    <w:p w14:paraId="7E70FA1C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O incentivo à capacitação dos agentes públicos municipais que atuam na rede de proteção,</w:t>
      </w:r>
    </w:p>
    <w:p w14:paraId="4F37FAEF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visando aprimorar o atendimento e o acolhimento de famílias em situação de litígio que possa</w:t>
      </w:r>
    </w:p>
    <w:p w14:paraId="31A278EB" w14:textId="77777777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configurar alienação parental;</w:t>
      </w:r>
    </w:p>
    <w:p w14:paraId="52F4D0C8" w14:textId="6B9DA32B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O fomento à celebração de parcerias com o Poder Judiciário, o Ministério Público, a Defensoria Pública, a Ordem dos Advogados do Brasil (OAB) e entidades da sociedade civil para a efetivação dos objetivos desta Lei.</w:t>
      </w:r>
    </w:p>
    <w:p w14:paraId="5A483AF0" w14:textId="77777777" w:rsidR="007A284F" w:rsidRDefault="007A284F" w:rsidP="007A28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5E92510" w14:textId="4CC32A94" w:rsidR="007A284F" w:rsidRDefault="007A284F" w:rsidP="007A284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As ações para a execução desta Lei serão implementadas pelo Poder Executivo, observada a disponibilidade orçamentária e financeira, podendo ser suplementadas caso necessário.</w:t>
      </w:r>
    </w:p>
    <w:p w14:paraId="5C731DE8" w14:textId="77777777" w:rsidR="007A284F" w:rsidRDefault="007A284F" w:rsidP="007A28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D6BC58C" w14:textId="3C3FCD20" w:rsidR="007A284F" w:rsidRDefault="007A284F" w:rsidP="007A284F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23DD9DEE" w14:textId="77777777" w:rsidR="00314CA1" w:rsidRDefault="00314CA1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67CDA7B4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A284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17 de março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2F88C" w14:textId="77777777" w:rsidR="0006118B" w:rsidRDefault="0006118B" w:rsidP="004B11B6">
      <w:pPr>
        <w:spacing w:after="0" w:line="240" w:lineRule="auto"/>
      </w:pPr>
      <w:r>
        <w:separator/>
      </w:r>
    </w:p>
  </w:endnote>
  <w:endnote w:type="continuationSeparator" w:id="0">
    <w:p w14:paraId="41F0055F" w14:textId="77777777" w:rsidR="0006118B" w:rsidRDefault="0006118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06118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7EDAB" w14:textId="77777777" w:rsidR="0006118B" w:rsidRDefault="0006118B" w:rsidP="004B11B6">
      <w:pPr>
        <w:spacing w:after="0" w:line="240" w:lineRule="auto"/>
      </w:pPr>
      <w:r>
        <w:separator/>
      </w:r>
    </w:p>
  </w:footnote>
  <w:footnote w:type="continuationSeparator" w:id="0">
    <w:p w14:paraId="4803AEA3" w14:textId="77777777" w:rsidR="0006118B" w:rsidRDefault="0006118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06118B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06118B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06118B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118B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E1FAD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3938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416</Words>
  <Characters>2259</Characters>
  <Application>Microsoft Office Word</Application>
  <DocSecurity>0</DocSecurity>
  <Lines>61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2026-02-10T14:27:00Z</cp:lastPrinted>
  <dcterms:created xsi:type="dcterms:W3CDTF">2026-03-16T18:02:00Z</dcterms:created>
  <dcterms:modified xsi:type="dcterms:W3CDTF">2026-03-17T14:34:00Z</dcterms:modified>
</cp:coreProperties>
</file>