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240/2025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026/2026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obrigatoriedade do Registro Geral do Animal (RGA) para todos os animais do município de Itapevi.”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obrigatoriedade do Registro Geral do Animal (RGA) para todos os animais do município de Itapevi.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240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zSmKHlEiamUTYqueIoFWos6aJg==">CgMxLjAyCGguZ2pkZ3hzOAByITEwTGN4b2tVTU1sU1ZVbmJXa0toRTNQS1cxN2dBay1rdg==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