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239/2025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025/2026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a campanha “autismo não tem idade”, destinada à inclusão e à conscientização sobre o autismo em adultos, no âmbito do município de Itapevi,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a campanha “autismo não tem idade”, destinada à inclusão e à conscientização sobre o autismo em adultos, no âmbito do município de Itapevi,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Parcial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239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-1080114</wp:posOffset>
          </wp:positionH>
          <wp:positionV relativeFrom="paragraph">
            <wp:posOffset>-1518263</wp:posOffset>
          </wp:positionV>
          <wp:extent cx="7545070" cy="10193760"/>
          <wp:effectExtent b="0" l="0" r="0" t="0"/>
          <wp:wrapNone/>
          <wp:docPr id="140975418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vFwTz237OjhzSKVJWexA3QlW7g==">CgMxLjAyCGguZ2pkZ3hzOAByITFMNXItQ0ZqdW5UY2hMM09Xekx0a3o4MzFiNmJKUHp2dw==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