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171/2025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015/2026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do "Cordão AVC Estrela" e da carteirinha de identificação para pessoas com sequelas de acidente vascular cerebral (AVC), estabelecendo direitos e prioridades no âmbito da cidade de Itapevi e dá outras providencias.”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do "Cordão AVC Estrela" e da carteirinha de identificação para pessoas com sequelas de acidente vascular cerebral (AVC), estabelecendo direitos e prioridades no âmbito da cidade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171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-1080109</wp:posOffset>
          </wp:positionH>
          <wp:positionV relativeFrom="paragraph">
            <wp:posOffset>-1518257</wp:posOffset>
          </wp:positionV>
          <wp:extent cx="7545070" cy="10193760"/>
          <wp:effectExtent b="0" l="0" r="0" t="0"/>
          <wp:wrapNone/>
          <wp:docPr id="14097541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27G/XxOVqv0QITAlxgpC+28WA==">CgMxLjAyCGguZ2pkZ3hzOAByITEyZ3pqa0xPRF9kdFQxTVlwVVoyQm5pTEN3UWJrcUJhTg==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