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131/2025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009/2026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de etiquetas em braile, marcações em relevo, cores contrastantes, ícones grandes, qr codes, etiquetas sonoras e design ergonômico nas etiquetas de preços dos comércios e supermercados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criação de etiquetas em braile, marcações em relevo, cores contrastantes, ícones grandes, qr codes, etiquetas sonoras e design ergonômico nas etiquetas de preços dos comércios e supermercados de Itapevi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PARCIAL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Parcial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-1080116</wp:posOffset>
          </wp:positionH>
          <wp:positionV relativeFrom="paragraph">
            <wp:posOffset>-1518265</wp:posOffset>
          </wp:positionV>
          <wp:extent cx="7545070" cy="10193760"/>
          <wp:effectExtent b="0" l="0" r="0" t="0"/>
          <wp:wrapNone/>
          <wp:docPr id="14097541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/0lyx4Iug8VDijfzFblx2SMUA==">CgMxLjAyCGguZ2pkZ3hzOAByITE3ajdyUnRsMnlUeXNBeTk4eXRFcTI3U05CZnZ6bkFmaQ==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