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115/2025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005/2026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do dia municipal do grafite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instituição do dia municipal do grafite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-1080117</wp:posOffset>
          </wp:positionH>
          <wp:positionV relativeFrom="paragraph">
            <wp:posOffset>-1518266</wp:posOffset>
          </wp:positionV>
          <wp:extent cx="7545070" cy="10193760"/>
          <wp:effectExtent b="0" l="0" r="0" t="0"/>
          <wp:wrapNone/>
          <wp:docPr id="14097541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5vJJ8BG8+zNbsrhP6RnxMY9MA==">CgMxLjAyCGguZ2pkZ3hzOAByITF5Nk1BZC1rRUdHaVFiODdjRC0tZkRwRWZHZ3FtdTYwbw==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