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6CEA125F" w:rsidR="00354DDB" w:rsidRPr="005E001F" w:rsidRDefault="004F59E3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D21BB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227</w:t>
      </w:r>
      <w:r w:rsidR="00354DDB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</w:t>
      </w:r>
      <w:r w:rsidR="00420D67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316AC0DD" w:rsidR="009E2F63" w:rsidRPr="005E001F" w:rsidRDefault="00480529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36083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COMPLEMENTAR </w:t>
      </w:r>
      <w:r w:rsidR="00985E59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36083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019</w:t>
      </w:r>
      <w:r w:rsidR="004C4A15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FA1D6C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EXECUTIVO</w:t>
      </w:r>
    </w:p>
    <w:p w14:paraId="1347C196" w14:textId="77777777" w:rsidR="00D725FD" w:rsidRPr="005E001F" w:rsidRDefault="00D725FD" w:rsidP="005E001F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CD81483" w14:textId="77777777" w:rsidR="000B7E2A" w:rsidRPr="000B7E2A" w:rsidRDefault="000B7E2A" w:rsidP="000B7E2A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61AC1D" w14:textId="77777777" w:rsidR="001714E5" w:rsidRPr="001714E5" w:rsidRDefault="001714E5" w:rsidP="001714E5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14E5">
        <w:rPr>
          <w:rFonts w:ascii="Times New Roman" w:hAnsi="Times New Roman" w:cs="Times New Roman"/>
          <w:b/>
          <w:bCs/>
          <w:sz w:val="24"/>
          <w:szCs w:val="24"/>
        </w:rPr>
        <w:t>“INSTITUI O NOVO PROGRAMA DE INCENTIVO AO DESENVOLVIMENTO DIGITAL E TECNOLÓGICO DA CIDADE DE ITAPEVI – DESENVOLVE ITAPEVI DIGITAL, DESTINADO EXCLUSIVAMENTE AOS SETOR DE TECNOLOGIA, E DÁ OUTRAS PROVIDÊNCIAS.”</w:t>
      </w:r>
    </w:p>
    <w:p w14:paraId="33B27EA5" w14:textId="77777777" w:rsidR="00677B79" w:rsidRPr="00677B79" w:rsidRDefault="00677B79" w:rsidP="00677B79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CF1CF" w14:textId="3A3F84E5" w:rsidR="001A032C" w:rsidRPr="005E001F" w:rsidRDefault="00D725FD" w:rsidP="005E001F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001F">
        <w:rPr>
          <w:rFonts w:ascii="Times New Roman" w:hAnsi="Times New Roman" w:cs="Times New Roman"/>
          <w:b/>
          <w:sz w:val="24"/>
          <w:szCs w:val="24"/>
        </w:rPr>
        <w:t>AUTOR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>IA</w:t>
      </w:r>
      <w:r w:rsidRPr="005E001F">
        <w:rPr>
          <w:rFonts w:ascii="Times New Roman" w:hAnsi="Times New Roman" w:cs="Times New Roman"/>
          <w:b/>
          <w:sz w:val="24"/>
          <w:szCs w:val="24"/>
        </w:rPr>
        <w:t>:</w:t>
      </w:r>
      <w:r w:rsidR="00E13CB4" w:rsidRPr="005E00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 xml:space="preserve"> PODER EXECUTIVO</w:t>
      </w:r>
    </w:p>
    <w:p w14:paraId="5080B217" w14:textId="77777777" w:rsidR="001A032C" w:rsidRPr="005E001F" w:rsidRDefault="001A032C" w:rsidP="005E001F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5D75043" w14:textId="071BBD64" w:rsidR="00593EEC" w:rsidRPr="000B7E2A" w:rsidRDefault="00593EEC" w:rsidP="00F82213">
      <w:pPr>
        <w:autoSpaceDE w:val="0"/>
        <w:autoSpaceDN w:val="0"/>
        <w:adjustRightInd w:val="0"/>
        <w:spacing w:after="16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6511F4" w:rsidRPr="005E001F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5E001F">
        <w:rPr>
          <w:rFonts w:ascii="Times New Roman" w:hAnsi="Times New Roman" w:cs="Times New Roman"/>
          <w:sz w:val="24"/>
          <w:szCs w:val="24"/>
        </w:rPr>
        <w:t>, no uso de suas atribuições legais, aprova a seguinte Lei</w:t>
      </w:r>
      <w:r w:rsidR="00102699">
        <w:rPr>
          <w:rFonts w:ascii="Times New Roman" w:hAnsi="Times New Roman" w:cs="Times New Roman"/>
          <w:sz w:val="24"/>
          <w:szCs w:val="24"/>
        </w:rPr>
        <w:t xml:space="preserve"> Complementar</w:t>
      </w:r>
      <w:r w:rsidRPr="005E001F">
        <w:rPr>
          <w:rFonts w:ascii="Times New Roman" w:hAnsi="Times New Roman" w:cs="Times New Roman"/>
          <w:sz w:val="24"/>
          <w:szCs w:val="24"/>
        </w:rPr>
        <w:t>:</w:t>
      </w:r>
    </w:p>
    <w:p w14:paraId="7B19AC30" w14:textId="77777777" w:rsidR="00D35D7C" w:rsidRDefault="00D35D7C" w:rsidP="001714E5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798FA1E" w14:textId="10969114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1714E5">
        <w:rPr>
          <w:rFonts w:ascii="Times New Roman" w:hAnsi="Times New Roman" w:cs="Times New Roman"/>
          <w:sz w:val="24"/>
          <w:szCs w:val="24"/>
        </w:rPr>
        <w:t xml:space="preserve"> Fica </w:t>
      </w:r>
      <w:r w:rsidR="00102699" w:rsidRPr="001714E5">
        <w:rPr>
          <w:rFonts w:ascii="Times New Roman" w:hAnsi="Times New Roman" w:cs="Times New Roman"/>
          <w:sz w:val="24"/>
          <w:szCs w:val="24"/>
        </w:rPr>
        <w:t>criado o</w:t>
      </w:r>
      <w:r w:rsidRPr="001714E5">
        <w:rPr>
          <w:rFonts w:ascii="Times New Roman" w:hAnsi="Times New Roman" w:cs="Times New Roman"/>
          <w:sz w:val="24"/>
          <w:szCs w:val="24"/>
        </w:rPr>
        <w:t xml:space="preserve"> Programa de Incentivo ao Desenvolvimento da Cidade – DESENVOLVE ITAPEVI DIGITAL, destinado exclusivamente às empresas do setor de tecnologia da informação, comunicação, desenvolvimento de software, inteligência artificial, serviços digitais, inovação tecnológica e similares.</w:t>
      </w:r>
    </w:p>
    <w:p w14:paraId="7C2CA044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1714E5">
        <w:rPr>
          <w:rFonts w:ascii="Times New Roman" w:hAnsi="Times New Roman" w:cs="Times New Roman"/>
          <w:sz w:val="24"/>
          <w:szCs w:val="24"/>
        </w:rPr>
        <w:t xml:space="preserve"> O Programa de Incentivo ao Desenvolvimento Digital e Tecnológico da Cidade – DESENVOLVE ITAPEVI DIGITAL, consiste na concessão de incentivos fiscais às empresas de tecnologia que:</w:t>
      </w:r>
    </w:p>
    <w:p w14:paraId="570D5540" w14:textId="085591A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I –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não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possuindo unidade de desenvolvimento ou prestação de serviços tecnológicos, vierem a se instalar no Município de Itapevi; e/ou</w:t>
      </w:r>
    </w:p>
    <w:p w14:paraId="358C5E87" w14:textId="4BD01229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II –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possuindo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unidade de desenvolvimento ou prestação de serviços tecnológicos, venham a instalar nova unidade ou ampliar a já existente na Cidade.</w:t>
      </w:r>
    </w:p>
    <w:p w14:paraId="2D6DA5C9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78927510"/>
      <w:r w:rsidRPr="001714E5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1714E5">
        <w:rPr>
          <w:rFonts w:ascii="Times New Roman" w:hAnsi="Times New Roman" w:cs="Times New Roman"/>
          <w:sz w:val="24"/>
          <w:szCs w:val="24"/>
        </w:rPr>
        <w:t xml:space="preserve"> Os incentivos fiscais objeto do Programa DESENVOLVE ITAPEVI DIGITAL, a partir da publicação desta Lei Complementar, consistirão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de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>:</w:t>
      </w:r>
    </w:p>
    <w:p w14:paraId="0F963BBB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>I –</w:t>
      </w:r>
      <w:bookmarkEnd w:id="0"/>
      <w:r w:rsidRPr="001714E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isenção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do Imposto de Transmissão Intervivos, a Qualquer Título, por Ato Oneroso, de Bens Imóveis, por Natureza ou Acessão Física e de Direitos Reais Sobre Imóveis - ITBI, desde que, </w:t>
      </w:r>
      <w:r w:rsidRPr="001714E5">
        <w:rPr>
          <w:rFonts w:ascii="Times New Roman" w:hAnsi="Times New Roman" w:cs="Times New Roman"/>
          <w:sz w:val="24"/>
          <w:szCs w:val="24"/>
        </w:rPr>
        <w:lastRenderedPageBreak/>
        <w:t>no prazo de 3 (três) anos contados da ocorrência do fato gerador, os pretendentes aos incentivos tenham concluído a unidade ou ampliação da construção existente no imóvel objeto da aquisição e estejam em pleno funcionamento acompanhado do respectivo Alvará de Funcionamento.</w:t>
      </w:r>
    </w:p>
    <w:p w14:paraId="32A15622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II –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isenção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do Imposto Predial e Territorial Urbano - IPTU, no prazo de 5 (cinco) anos, sobre a área correspondente em até 10 (dez) vezes a área construída ou ampliada,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à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partir do exercício seguinte à expedição do Alvará de Funcionamento pela Secretaria da Fazenda e Patrimônio;</w:t>
      </w:r>
    </w:p>
    <w:p w14:paraId="1FC9CF55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III – isenção do Imposto Sobre Serviço de Qualquer Natureza - ISSQN, referente à execução das obras de construção civil dos prédios industriais ou de prestação de serviços previstos nos subitens 7.02 e 7.05, da lista constante da Tabela II, do art. 469, da Lei Complementar nº </w:t>
      </w:r>
      <w:hyperlink r:id="rId8" w:history="1">
        <w:r w:rsidRPr="001714E5">
          <w:rPr>
            <w:rStyle w:val="Hyperlink"/>
            <w:rFonts w:ascii="Times New Roman" w:hAnsi="Times New Roman" w:cs="Times New Roman"/>
            <w:sz w:val="24"/>
            <w:szCs w:val="24"/>
          </w:rPr>
          <w:t>34</w:t>
        </w:r>
      </w:hyperlink>
      <w:r w:rsidRPr="001714E5">
        <w:rPr>
          <w:rFonts w:ascii="Times New Roman" w:hAnsi="Times New Roman" w:cs="Times New Roman"/>
          <w:sz w:val="24"/>
          <w:szCs w:val="24"/>
        </w:rPr>
        <w:t>, de 23 de dezembro de 2005 - CTM, a partir da expedição do Alvará de Construção;</w:t>
      </w:r>
    </w:p>
    <w:p w14:paraId="1C23A8E7" w14:textId="19E04552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IV -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isenção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das taxas de poder de polícia, sobre as atividades incentivadas, pelo período de 5 (cinco) anos; e</w:t>
      </w:r>
    </w:p>
    <w:p w14:paraId="45A99A3B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V –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isenção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dos preços públicos referentes a aprovação dos projetos construtivos.</w:t>
      </w:r>
    </w:p>
    <w:p w14:paraId="168EB363" w14:textId="05B8B40F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§ 1º As hipóteses de isenção dos impostos, taxas e preços públicos previstos nos incisos I a V deste artigo se aplicam e são gravadas administrativamente aos imóveis, independentemente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do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proponente do benefício ser o proprietário, locatário, compromissário, possuidor, ou qualquer outro vínculo que o legitime a viabilizar no imóvel a atividade de serviços tecnológicos.</w:t>
      </w:r>
    </w:p>
    <w:p w14:paraId="26BA5B54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§ 2º O imóvel gravado administrativamente com a isenção dos impostos, taxas e preços públicos, conforme as hipóteses e os prazos definidos nos incisos I a V, pode manter esta condição mesmo em caso de alienação posterior à terceiro ou substituição do proponente, ocasião em que o novo proprietário deverá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manter as mesmas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condições propostas para a isenção anteriormente aprovadas.</w:t>
      </w:r>
    </w:p>
    <w:p w14:paraId="1B4DA52F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>§ 3° Durante o prazo de três anos assinalado no inciso I deste artigo,  haverá isenção do Imposto de Transmissão Intervivos, a Qualquer Título, por Ato Oneroso, de Bens Imóveis, por Natureza ou Acessão Física e de Direitos Reais Sobre Imóveis – ITBI, mesmo em caso de outras alienações imobiliárias, quer seja do todo ou de parte desmembrada do imóvel, ocasião em que o novo proprietário deverá manter as mesmas condições propostas para a isenção anteriormente aprovadas ou apresentar novo projeto que se enquadre nas exigências desta lei, atendidos os prazos legais estabelecidos.</w:t>
      </w:r>
    </w:p>
    <w:p w14:paraId="0CC6B5B3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E353B4A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>§ 4º Os prazos constantes dos incisos II e IV deste art. 3º, concernente ao IPTU e as taxas de poder de polícia, serão prorrogados automaticamente por 5 (cinco) anos, desde que, a Comissão de Acompanhamento e Orientação do Programa de Incentivo ao Desenvolvimento da Cidade de Itapevi - COMCITA, constate que as exigências dos arts. 5º e 6º, desta Lei Complementar, foram integralmente observadas pelos beneficiários do DESENVOLVE ITAPEVI DIGITAL, no período em questão.</w:t>
      </w:r>
    </w:p>
    <w:p w14:paraId="1B30669E" w14:textId="428BBC04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>§ 5º Para fins e efeitos dos benefícios fiscais, previstos pelos incisos II e IV do art. 3º desta Lei Complementar, concernentes aos IPTU e taxas de poder de polícia, haverá a suspensão da exigibilidade dos referidos tributos no período compreendido entre a expedição do Alvará de Funcionamento e a decisão do Secretário da Fazenda e Patrimônio, homologando ou não os referidos benefícios fiscais.</w:t>
      </w:r>
    </w:p>
    <w:p w14:paraId="2ADD81FC" w14:textId="715AC6DB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>§ 6º Constatado, pela Comissão de Acompanhamento e Orientação do Programa de Incentivo ao Desenvolvimento da Cidade de Itapevi - COMCITA, o integral cumprimento das exigências para obtenção dos benefícios fiscais ora instituídos, o Secretário da Fazenda e Patrimônio homologará a isenção dos primeiros cinco anos, o que deverá ocorrer também, se em termos, no vencimento, por igual período para os casos concernentes aos benefícios do IPTU e taxas de poder de polícia.</w:t>
      </w:r>
    </w:p>
    <w:p w14:paraId="69CF74DE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>§ 7º Para fins e efeitos dos benefícios fiscais previstos pelos incisos III e V do art. 3º, desta Lei Complementar, concernentes ao ISSQN e aos Preços Públicos, haverá a suspensão da exigibilidade dos referidos tributos e encargos fiscais, no período compreendido entre a expedição do Alvará de Construção e a decisão do Secretário da Fazenda e Patrimônio, homologando ou não os referidos benefícios.</w:t>
      </w:r>
    </w:p>
    <w:p w14:paraId="1CEE7AAB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>§ 8º Para fins e efeitos do benefício fiscal previsto no inciso I, do art. 3º, desta Lei Complementar concernentes ao ITBI, haverá a suspensão da sua exigibilidade no período compreendido entre a data do fato gerador do Imposto e a decisão do Secretário da Fazenda e Patrimônio, homologando ou não o referido benefício.</w:t>
      </w:r>
    </w:p>
    <w:p w14:paraId="79944381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§ 9º Constatado, pela Comissão de Acompanhamento e Orientação do Programa de Incentivo ao Desenvolvimento da Cidade de Itapevi - COMCITA,  o integral cumprimento das exigências para a obtenção dos benefícios fiscais ora instituídos, o Secretário da Fazenda e Patrimônio </w:t>
      </w:r>
      <w:r w:rsidRPr="001714E5">
        <w:rPr>
          <w:rFonts w:ascii="Times New Roman" w:hAnsi="Times New Roman" w:cs="Times New Roman"/>
          <w:sz w:val="24"/>
          <w:szCs w:val="24"/>
        </w:rPr>
        <w:lastRenderedPageBreak/>
        <w:t>homologará definitivamente as referidas isenções, providenciando todas as medidas resultantes deste ato, bem como dará ciência, quando for o caso, ao Cartório de Registro de Imóveis de Itapevi, para que, o mesmo adote as providências cabíveis com relação ao ITBI, incidente sobre a aquisição do imóvel em questão.</w:t>
      </w:r>
    </w:p>
    <w:p w14:paraId="294365D2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1714E5">
        <w:rPr>
          <w:rFonts w:ascii="Times New Roman" w:hAnsi="Times New Roman" w:cs="Times New Roman"/>
          <w:sz w:val="24"/>
          <w:szCs w:val="24"/>
        </w:rPr>
        <w:t xml:space="preserve"> As empresas com o seguimento no setor de Tecnologia e congêneres que vierem a se instalar no Município de Itapevi, devidamente enquadradas na presente lei terão a alíquota do Imposto sobre Serviço de qualquer natureza (ISSQN) reduzidas a 2% (dois por cento).</w:t>
      </w:r>
    </w:p>
    <w:p w14:paraId="1120772C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b/>
          <w:bCs/>
          <w:sz w:val="24"/>
          <w:szCs w:val="24"/>
        </w:rPr>
        <w:t>Art. 5º</w:t>
      </w:r>
      <w:r w:rsidRPr="001714E5">
        <w:rPr>
          <w:rFonts w:ascii="Times New Roman" w:hAnsi="Times New Roman" w:cs="Times New Roman"/>
          <w:sz w:val="24"/>
          <w:szCs w:val="24"/>
        </w:rPr>
        <w:t xml:space="preserve"> Para usufruírem dos benefícios fiscais previstos no programa DESENVOLVE ITAPEVI DIGITAL, as pessoas físicas ou jurídicas deverão, no prazo máximo de 1 (um) ano, contados da publicação desta Lei Complementar, firmar 'Protocolo de Intenções' com o Município de Itapevi, contendo:</w:t>
      </w:r>
    </w:p>
    <w:p w14:paraId="021C88B9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I -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descrição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da atividade tecnológica a ser instalada ou ampliada;</w:t>
      </w:r>
    </w:p>
    <w:p w14:paraId="2A902509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II –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previsão de faturamento anual, referente a atividade a ser instalada ou ampliada.</w:t>
      </w:r>
    </w:p>
    <w:p w14:paraId="76E981A3" w14:textId="79C7292E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>III – a previsão da metragem da área construída a ser instalada ou ampliada;</w:t>
      </w:r>
    </w:p>
    <w:p w14:paraId="771F5355" w14:textId="3D5B7C95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IV –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previsão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da quantidade de empregos diretos a serem criados;</w:t>
      </w:r>
    </w:p>
    <w:p w14:paraId="07CCCD4F" w14:textId="6BBC998C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V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-  o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compromisso de eleger o domicílio fiscal no Município de Itapevi, salvo por impossibilidade legal declarada pelo fisco.</w:t>
      </w:r>
    </w:p>
    <w:p w14:paraId="5B274378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VI –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compromisso de licenciar os seus veículos na circunscrição de trânsito da Cidade de Itapevi;</w:t>
      </w:r>
    </w:p>
    <w:p w14:paraId="0C544443" w14:textId="6D97985A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VII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-  o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compromisso de destinar, a título de doação ou patrocínio durante todo o período de permanência na cidade de Itapevi, o valor equivalente a 1%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( um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por cento) do Imposto de Renda devido em favor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do  Fundo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Municipal dos Direitos da Criança e do Adolescente de Itapevi; </w:t>
      </w:r>
    </w:p>
    <w:p w14:paraId="17CB86E0" w14:textId="59535959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>VIII – caso o imóvel tenha sido construído ou ampliado para fins de locação, deverá constar cláusula expressa no contrato locativo que o locatário atenderá todas as exigências desta Lei Complementar; e</w:t>
      </w:r>
    </w:p>
    <w:p w14:paraId="7601EC41" w14:textId="4F99C625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IX -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outras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condições que o Executivo julgar pertinentes a cada caso concreto.</w:t>
      </w:r>
    </w:p>
    <w:p w14:paraId="7818C5CE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>Parágrafo único. O prazo constante do caput deste art. 5º, poderá ser prorrogado por mais 1 (um) ano, por ato do Executivo.</w:t>
      </w:r>
    </w:p>
    <w:p w14:paraId="0E241423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b/>
          <w:bCs/>
          <w:sz w:val="24"/>
          <w:szCs w:val="24"/>
        </w:rPr>
        <w:t>Art. 6º</w:t>
      </w:r>
      <w:r w:rsidRPr="001714E5">
        <w:rPr>
          <w:rFonts w:ascii="Times New Roman" w:hAnsi="Times New Roman" w:cs="Times New Roman"/>
          <w:sz w:val="24"/>
          <w:szCs w:val="24"/>
        </w:rPr>
        <w:t xml:space="preserve"> São condições mínimas para obtenção dos benefícios fiscais:</w:t>
      </w:r>
    </w:p>
    <w:p w14:paraId="19254135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lastRenderedPageBreak/>
        <w:t xml:space="preserve">I –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empregar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no mínimo 50% (cinquenta por cento) de trabalhadores residentes em Itapevi;</w:t>
      </w:r>
    </w:p>
    <w:p w14:paraId="45435476" w14:textId="068C4E05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II –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iniciar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as obras de construção ou ampliação em até 6 (seis) meses a contar da expedição do Alvará de Construção;</w:t>
      </w:r>
    </w:p>
    <w:p w14:paraId="430C1446" w14:textId="4ECC169C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>III – iniciar as atividades tecnológicas, devidamente legalizadas, inclusive com o respectivo Alvará de Funcionamento, no prazo máximo de 2 (dois) anos após o início das obras, observando o disposto no inciso II deste art. 6º.</w:t>
      </w:r>
    </w:p>
    <w:p w14:paraId="657EEEF1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b/>
          <w:bCs/>
          <w:sz w:val="24"/>
          <w:szCs w:val="24"/>
        </w:rPr>
        <w:t>Art. 7º</w:t>
      </w:r>
      <w:r w:rsidRPr="001714E5">
        <w:rPr>
          <w:rFonts w:ascii="Times New Roman" w:hAnsi="Times New Roman" w:cs="Times New Roman"/>
          <w:sz w:val="24"/>
          <w:szCs w:val="24"/>
        </w:rPr>
        <w:t xml:space="preserve"> Durante o período de concessão dos incentivos fiscais, os beneficiários deverão manter todas as condições previstas nos artigos 5º e 6º desta Lei Complementar.</w:t>
      </w:r>
    </w:p>
    <w:p w14:paraId="51A1879D" w14:textId="4A80EB34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b/>
          <w:bCs/>
          <w:sz w:val="24"/>
          <w:szCs w:val="24"/>
        </w:rPr>
        <w:t>Parágrafo único</w:t>
      </w:r>
      <w:r w:rsidRPr="001714E5">
        <w:rPr>
          <w:rFonts w:ascii="Times New Roman" w:hAnsi="Times New Roman" w:cs="Times New Roman"/>
          <w:sz w:val="24"/>
          <w:szCs w:val="24"/>
        </w:rPr>
        <w:t xml:space="preserve">. A inobservância do disposto no </w:t>
      </w:r>
      <w:r w:rsidRPr="001714E5">
        <w:rPr>
          <w:rFonts w:ascii="Times New Roman" w:hAnsi="Times New Roman" w:cs="Times New Roman"/>
          <w:i/>
          <w:iCs/>
          <w:sz w:val="24"/>
          <w:szCs w:val="24"/>
        </w:rPr>
        <w:t xml:space="preserve">caput </w:t>
      </w:r>
      <w:r w:rsidRPr="001714E5">
        <w:rPr>
          <w:rFonts w:ascii="Times New Roman" w:hAnsi="Times New Roman" w:cs="Times New Roman"/>
          <w:sz w:val="24"/>
          <w:szCs w:val="24"/>
        </w:rPr>
        <w:t>deste artigo 7º, ensejará no imediato cancelamento dos benefícios fiscais concedidos com o lançamento de todos os tributos e demais encargos fiscais, acrescidos dos encargos legais a contar da data da ocorrência dos respectivos fatos geradores.</w:t>
      </w:r>
    </w:p>
    <w:p w14:paraId="71370A1E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b/>
          <w:bCs/>
          <w:sz w:val="24"/>
          <w:szCs w:val="24"/>
        </w:rPr>
        <w:t>Art. 8º</w:t>
      </w:r>
      <w:r w:rsidRPr="001714E5">
        <w:rPr>
          <w:rFonts w:ascii="Times New Roman" w:hAnsi="Times New Roman" w:cs="Times New Roman"/>
          <w:sz w:val="24"/>
          <w:szCs w:val="24"/>
        </w:rPr>
        <w:t xml:space="preserve"> Ficam estendidas as atribuições da </w:t>
      </w:r>
      <w:bookmarkStart w:id="1" w:name="_Hlk205473193"/>
      <w:r w:rsidRPr="001714E5">
        <w:rPr>
          <w:rFonts w:ascii="Times New Roman" w:hAnsi="Times New Roman" w:cs="Times New Roman"/>
          <w:sz w:val="24"/>
          <w:szCs w:val="24"/>
        </w:rPr>
        <w:t>Comissão de Acompanhamento e Orientação do Programa de Incentivo ao Desenvolvimento da Cidade de Itapevi – COMCITA criada pela Lei Complementar nº 91/2017</w:t>
      </w:r>
      <w:bookmarkEnd w:id="1"/>
      <w:r w:rsidRPr="001714E5">
        <w:rPr>
          <w:rFonts w:ascii="Times New Roman" w:hAnsi="Times New Roman" w:cs="Times New Roman"/>
          <w:sz w:val="24"/>
          <w:szCs w:val="24"/>
        </w:rPr>
        <w:t xml:space="preserve">, ao Novo Programa de Incentivo ao Desenvolvimento da Cidade- Desenvolve Itapevi Digital, ora criado. </w:t>
      </w:r>
    </w:p>
    <w:p w14:paraId="35F0E394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bookmarkStart w:id="2" w:name="artigo_8"/>
      <w:r w:rsidRPr="001714E5">
        <w:rPr>
          <w:rFonts w:ascii="Times New Roman" w:hAnsi="Times New Roman" w:cs="Times New Roman"/>
          <w:b/>
          <w:bCs/>
          <w:sz w:val="24"/>
          <w:szCs w:val="24"/>
        </w:rPr>
        <w:t>Art. 9º</w:t>
      </w:r>
      <w:bookmarkEnd w:id="2"/>
      <w:r w:rsidRPr="001714E5">
        <w:rPr>
          <w:rFonts w:ascii="Times New Roman" w:hAnsi="Times New Roman" w:cs="Times New Roman"/>
          <w:sz w:val="24"/>
          <w:szCs w:val="24"/>
        </w:rPr>
        <w:t xml:space="preserve"> Fica o Poder Executivo autorizado a proceder as alterações decorrentes da implantação desta Lei Complementar, especialmente no que se refere aos critérios previstos no anexo de metas fiscais, constante na Lei de Diretrizes Orçamentária.</w:t>
      </w:r>
    </w:p>
    <w:p w14:paraId="38F70E1A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b/>
          <w:bCs/>
          <w:sz w:val="24"/>
          <w:szCs w:val="24"/>
        </w:rPr>
        <w:t>Parágrafo único</w:t>
      </w:r>
      <w:r w:rsidRPr="001714E5">
        <w:rPr>
          <w:rFonts w:ascii="Times New Roman" w:hAnsi="Times New Roman" w:cs="Times New Roman"/>
          <w:sz w:val="24"/>
          <w:szCs w:val="24"/>
        </w:rPr>
        <w:t>. Na elaboração do orçamento, inclusive para os exercícios subsequentes, o Poder Executivo, adotará as medidas necessárias ao atendimento do disposto no art. 14, da Lei Complementar Nacional nº 101, de 04 de maio de 2000 - Lei de Responsabilidade Fiscal.</w:t>
      </w:r>
    </w:p>
    <w:p w14:paraId="7C7E32B5" w14:textId="22EFA3E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b/>
          <w:bCs/>
          <w:sz w:val="24"/>
          <w:szCs w:val="24"/>
        </w:rPr>
        <w:t>Art. 10</w:t>
      </w:r>
      <w:r w:rsidR="00D35D7C">
        <w:rPr>
          <w:rFonts w:ascii="Times New Roman" w:hAnsi="Times New Roman" w:cs="Times New Roman"/>
          <w:sz w:val="24"/>
          <w:szCs w:val="24"/>
        </w:rPr>
        <w:t>º</w:t>
      </w:r>
      <w:r w:rsidRPr="001714E5">
        <w:rPr>
          <w:rFonts w:ascii="Times New Roman" w:hAnsi="Times New Roman" w:cs="Times New Roman"/>
          <w:sz w:val="24"/>
          <w:szCs w:val="24"/>
        </w:rPr>
        <w:t xml:space="preserve"> É condição legal para o deferimento e a manutenção dos benefícios fiscais previstos nesta Lei Complementar, a afixação em local visível ao público, no prazo de 90 (noventa) dias, a contar do prazo de notificação do deferimento do benefício, de placa de identificação com 2,5m x 2,00m (largura x altura), constando os dizeres “Esta empresa recebe apoio da Prefeitura Municipal de Itapevi, por meio do Programa de Incentivo ao Desenvolvimento da Cidade de Itapevi – DESENVOLVE ITAPEVI DIGITAL”.</w:t>
      </w:r>
    </w:p>
    <w:p w14:paraId="24B19583" w14:textId="77777777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 xml:space="preserve">§ 1º As Microempresas – ME, as Empresas de Pequeno Porte – EPP, os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Micro Empresários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Individuais – MEI, o </w:t>
      </w:r>
      <w:proofErr w:type="gramStart"/>
      <w:r w:rsidRPr="001714E5">
        <w:rPr>
          <w:rFonts w:ascii="Times New Roman" w:hAnsi="Times New Roman" w:cs="Times New Roman"/>
          <w:sz w:val="24"/>
          <w:szCs w:val="24"/>
        </w:rPr>
        <w:t>Micro Empresário</w:t>
      </w:r>
      <w:proofErr w:type="gramEnd"/>
      <w:r w:rsidRPr="001714E5">
        <w:rPr>
          <w:rFonts w:ascii="Times New Roman" w:hAnsi="Times New Roman" w:cs="Times New Roman"/>
          <w:sz w:val="24"/>
          <w:szCs w:val="24"/>
        </w:rPr>
        <w:t xml:space="preserve"> Individual – MEI e a Sociedade Limitada Unipessoal - </w:t>
      </w:r>
      <w:r w:rsidRPr="001714E5">
        <w:rPr>
          <w:rFonts w:ascii="Times New Roman" w:hAnsi="Times New Roman" w:cs="Times New Roman"/>
          <w:sz w:val="24"/>
          <w:szCs w:val="24"/>
        </w:rPr>
        <w:lastRenderedPageBreak/>
        <w:t>SLU, deverão afixar em local visível ao público o certificado de concessão do benefício fiscal no prazo definido no caput.</w:t>
      </w:r>
    </w:p>
    <w:p w14:paraId="4BC18DAB" w14:textId="79C9B710" w:rsidR="001714E5" w:rsidRPr="001714E5" w:rsidRDefault="001714E5" w:rsidP="006D1AE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sz w:val="24"/>
          <w:szCs w:val="24"/>
        </w:rPr>
        <w:t>§ 2º Micro e pequenas empresas, MEI, EI, EPP e SLU deverão afixar certificado de concessão de benefício fiscal no mesmo prazo.</w:t>
      </w:r>
    </w:p>
    <w:p w14:paraId="5B64B31C" w14:textId="77777777" w:rsidR="001714E5" w:rsidRPr="001714E5" w:rsidRDefault="001714E5" w:rsidP="001714E5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13818C8" w14:textId="1AD85F38" w:rsidR="001714E5" w:rsidRPr="001714E5" w:rsidRDefault="001714E5" w:rsidP="001714E5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714E5">
        <w:rPr>
          <w:rFonts w:ascii="Times New Roman" w:hAnsi="Times New Roman" w:cs="Times New Roman"/>
          <w:b/>
          <w:bCs/>
          <w:sz w:val="24"/>
          <w:szCs w:val="24"/>
        </w:rPr>
        <w:t>Art. 11</w:t>
      </w:r>
      <w:r w:rsidR="006D1AE9">
        <w:rPr>
          <w:rFonts w:ascii="Times New Roman" w:hAnsi="Times New Roman" w:cs="Times New Roman"/>
          <w:sz w:val="24"/>
          <w:szCs w:val="24"/>
        </w:rPr>
        <w:t>º</w:t>
      </w:r>
      <w:r w:rsidRPr="001714E5">
        <w:rPr>
          <w:rFonts w:ascii="Times New Roman" w:hAnsi="Times New Roman" w:cs="Times New Roman"/>
          <w:sz w:val="24"/>
          <w:szCs w:val="24"/>
        </w:rPr>
        <w:t xml:space="preserve"> Esta Lei Complementar entra em vigor na data de sua publicação.</w:t>
      </w:r>
    </w:p>
    <w:p w14:paraId="212799B4" w14:textId="77777777" w:rsidR="00063051" w:rsidRPr="00A718B2" w:rsidRDefault="00063051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4884C83" w14:textId="18548CD6" w:rsidR="00BC0357" w:rsidRPr="005E001F" w:rsidRDefault="00BC1717" w:rsidP="00F1402F">
      <w:pPr>
        <w:spacing w:after="160"/>
        <w:contextualSpacing/>
        <w:mirrorIndents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Câmara Municipal de Itapevi, </w:t>
      </w:r>
      <w:r w:rsidR="000A0007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</w:t>
      </w:r>
      <w:r w:rsidR="00817F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="00907A3E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</w:t>
      </w:r>
      <w:r w:rsidR="00817F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dezembro</w:t>
      </w:r>
      <w:r w:rsidR="002B07C5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2025.</w:t>
      </w:r>
    </w:p>
    <w:p w14:paraId="57EAD8C0" w14:textId="77777777" w:rsidR="004B01D2" w:rsidRPr="005E001F" w:rsidRDefault="004B01D2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BEBF7CF" w14:textId="66645BBF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Rafael Alan de Moraes Romeiros</w:t>
      </w: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5E001F" w:rsidSect="00DA1DE6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ouvenir Lt BT">
    <w:altName w:val="Georgia"/>
    <w:charset w:val="00"/>
    <w:family w:val="roman"/>
    <w:pitch w:val="default"/>
    <w:sig w:usb0="00000000" w:usb1="00000000" w:usb2="00000000" w:usb3="00000000" w:csb0="0000001B" w:csb1="00000000"/>
  </w:font>
  <w:font w:name="DejaVu Sans">
    <w:altName w:val="Yu Gothic"/>
    <w:charset w:val="8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D21BB5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D21BB5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D21BB5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4.95pt;margin-top:-131.4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D21BB5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6820AD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41F44"/>
    <w:multiLevelType w:val="hybridMultilevel"/>
    <w:tmpl w:val="DC16EA1E"/>
    <w:lvl w:ilvl="0" w:tplc="EE2EDD5E">
      <w:start w:val="1"/>
      <w:numFmt w:val="lowerLetter"/>
      <w:lvlText w:val="%1)"/>
      <w:lvlJc w:val="left"/>
      <w:pPr>
        <w:ind w:left="450" w:hanging="45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68285F"/>
    <w:multiLevelType w:val="hybridMultilevel"/>
    <w:tmpl w:val="C0B68D92"/>
    <w:lvl w:ilvl="0" w:tplc="87FEAE5E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3D0462"/>
    <w:multiLevelType w:val="hybridMultilevel"/>
    <w:tmpl w:val="BA247B16"/>
    <w:lvl w:ilvl="0" w:tplc="82A6A8D8">
      <w:start w:val="1"/>
      <w:numFmt w:val="upperRoman"/>
      <w:lvlText w:val="%1-"/>
      <w:lvlJc w:val="left"/>
      <w:pPr>
        <w:ind w:left="720" w:hanging="360"/>
      </w:pPr>
      <w:rPr>
        <w:b w:val="0"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635C2"/>
    <w:multiLevelType w:val="hybridMultilevel"/>
    <w:tmpl w:val="E3C227A2"/>
    <w:lvl w:ilvl="0" w:tplc="EBBC1276">
      <w:start w:val="1"/>
      <w:numFmt w:val="upperRoman"/>
      <w:lvlText w:val="%1-"/>
      <w:lvlJc w:val="left"/>
      <w:pPr>
        <w:ind w:left="720" w:hanging="360"/>
      </w:pPr>
      <w:rPr>
        <w:b w:val="0"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FBA309F"/>
    <w:multiLevelType w:val="hybridMultilevel"/>
    <w:tmpl w:val="1328374C"/>
    <w:lvl w:ilvl="0" w:tplc="E5EC3AB6">
      <w:start w:val="1"/>
      <w:numFmt w:val="upperRoman"/>
      <w:lvlText w:val="%1-"/>
      <w:lvlJc w:val="left"/>
      <w:pPr>
        <w:ind w:left="1353" w:hanging="360"/>
      </w:pPr>
      <w:rPr>
        <w:b w:val="0"/>
        <w:bCs/>
      </w:rPr>
    </w:lvl>
    <w:lvl w:ilvl="1" w:tplc="04160019">
      <w:start w:val="1"/>
      <w:numFmt w:val="lowerLetter"/>
      <w:lvlText w:val="%2."/>
      <w:lvlJc w:val="left"/>
      <w:pPr>
        <w:ind w:left="2073" w:hanging="360"/>
      </w:pPr>
    </w:lvl>
    <w:lvl w:ilvl="2" w:tplc="0416001B">
      <w:start w:val="1"/>
      <w:numFmt w:val="lowerRoman"/>
      <w:lvlText w:val="%3."/>
      <w:lvlJc w:val="right"/>
      <w:pPr>
        <w:ind w:left="2793" w:hanging="180"/>
      </w:pPr>
    </w:lvl>
    <w:lvl w:ilvl="3" w:tplc="0416000F">
      <w:start w:val="1"/>
      <w:numFmt w:val="decimal"/>
      <w:lvlText w:val="%4."/>
      <w:lvlJc w:val="left"/>
      <w:pPr>
        <w:ind w:left="3513" w:hanging="360"/>
      </w:pPr>
    </w:lvl>
    <w:lvl w:ilvl="4" w:tplc="04160019">
      <w:start w:val="1"/>
      <w:numFmt w:val="lowerLetter"/>
      <w:lvlText w:val="%5."/>
      <w:lvlJc w:val="left"/>
      <w:pPr>
        <w:ind w:left="4233" w:hanging="360"/>
      </w:pPr>
    </w:lvl>
    <w:lvl w:ilvl="5" w:tplc="0416001B">
      <w:start w:val="1"/>
      <w:numFmt w:val="lowerRoman"/>
      <w:lvlText w:val="%6."/>
      <w:lvlJc w:val="right"/>
      <w:pPr>
        <w:ind w:left="4953" w:hanging="180"/>
      </w:pPr>
    </w:lvl>
    <w:lvl w:ilvl="6" w:tplc="0416000F">
      <w:start w:val="1"/>
      <w:numFmt w:val="decimal"/>
      <w:lvlText w:val="%7."/>
      <w:lvlJc w:val="left"/>
      <w:pPr>
        <w:ind w:left="5673" w:hanging="360"/>
      </w:pPr>
    </w:lvl>
    <w:lvl w:ilvl="7" w:tplc="04160019">
      <w:start w:val="1"/>
      <w:numFmt w:val="lowerLetter"/>
      <w:lvlText w:val="%8."/>
      <w:lvlJc w:val="left"/>
      <w:pPr>
        <w:ind w:left="6393" w:hanging="360"/>
      </w:pPr>
    </w:lvl>
    <w:lvl w:ilvl="8" w:tplc="0416001B">
      <w:start w:val="1"/>
      <w:numFmt w:val="lowerRoman"/>
      <w:lvlText w:val="%9."/>
      <w:lvlJc w:val="right"/>
      <w:pPr>
        <w:ind w:left="7113" w:hanging="180"/>
      </w:pPr>
    </w:lvl>
  </w:abstractNum>
  <w:abstractNum w:abstractNumId="17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6E4A44"/>
    <w:multiLevelType w:val="hybridMultilevel"/>
    <w:tmpl w:val="1220C1AC"/>
    <w:lvl w:ilvl="0" w:tplc="83166EC6">
      <w:start w:val="1"/>
      <w:numFmt w:val="lowerLetter"/>
      <w:lvlText w:val="%1)"/>
      <w:lvlJc w:val="left"/>
      <w:pPr>
        <w:ind w:left="2629" w:hanging="360"/>
      </w:pPr>
      <w:rPr>
        <w:b w:val="0"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2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E8A16CF"/>
    <w:multiLevelType w:val="hybridMultilevel"/>
    <w:tmpl w:val="C6424774"/>
    <w:lvl w:ilvl="0" w:tplc="B7AE27B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65A363A7"/>
    <w:multiLevelType w:val="multilevel"/>
    <w:tmpl w:val="8F427E64"/>
    <w:lvl w:ilvl="0">
      <w:start w:val="1"/>
      <w:numFmt w:val="lowerLetter"/>
      <w:lvlText w:val="%1)"/>
      <w:lvlJc w:val="left"/>
      <w:pPr>
        <w:tabs>
          <w:tab w:val="num" w:pos="0"/>
        </w:tabs>
        <w:ind w:left="3264" w:hanging="57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77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49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2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9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6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3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0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814" w:hanging="180"/>
      </w:pPr>
    </w:lvl>
  </w:abstractNum>
  <w:abstractNum w:abstractNumId="2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9" w15:restartNumberingAfterBreak="0">
    <w:nsid w:val="72557DE6"/>
    <w:multiLevelType w:val="multilevel"/>
    <w:tmpl w:val="6F16F690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trike w:val="0"/>
        <w:dstrike w:val="0"/>
        <w:u w:val="none"/>
        <w:effect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trike w:val="0"/>
        <w:dstrike w:val="0"/>
        <w:u w:val="none"/>
        <w:effect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trike w:val="0"/>
        <w:dstrike w:val="0"/>
        <w:u w:val="none"/>
        <w:effect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</w:abstractNum>
  <w:abstractNum w:abstractNumId="30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3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13"/>
  </w:num>
  <w:num w:numId="2" w16cid:durableId="1157500730">
    <w:abstractNumId w:val="19"/>
  </w:num>
  <w:num w:numId="3" w16cid:durableId="490415500">
    <w:abstractNumId w:val="33"/>
  </w:num>
  <w:num w:numId="4" w16cid:durableId="16547911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10"/>
  </w:num>
  <w:num w:numId="11" w16cid:durableId="120927150">
    <w:abstractNumId w:val="31"/>
  </w:num>
  <w:num w:numId="12" w16cid:durableId="635065293">
    <w:abstractNumId w:val="3"/>
  </w:num>
  <w:num w:numId="13" w16cid:durableId="884290029">
    <w:abstractNumId w:val="28"/>
  </w:num>
  <w:num w:numId="14" w16cid:durableId="843277943">
    <w:abstractNumId w:val="5"/>
  </w:num>
  <w:num w:numId="15" w16cid:durableId="219291849">
    <w:abstractNumId w:val="26"/>
  </w:num>
  <w:num w:numId="16" w16cid:durableId="1742168947">
    <w:abstractNumId w:val="1"/>
  </w:num>
  <w:num w:numId="17" w16cid:durableId="1818958146">
    <w:abstractNumId w:val="17"/>
  </w:num>
  <w:num w:numId="18" w16cid:durableId="654141538">
    <w:abstractNumId w:val="27"/>
  </w:num>
  <w:num w:numId="19" w16cid:durableId="24791635">
    <w:abstractNumId w:val="30"/>
  </w:num>
  <w:num w:numId="20" w16cid:durableId="1543247140">
    <w:abstractNumId w:val="23"/>
  </w:num>
  <w:num w:numId="21" w16cid:durableId="637879994">
    <w:abstractNumId w:val="15"/>
  </w:num>
  <w:num w:numId="22" w16cid:durableId="1572226766">
    <w:abstractNumId w:val="6"/>
  </w:num>
  <w:num w:numId="23" w16cid:durableId="307785977">
    <w:abstractNumId w:val="34"/>
  </w:num>
  <w:num w:numId="24" w16cid:durableId="760419304">
    <w:abstractNumId w:val="22"/>
  </w:num>
  <w:num w:numId="25" w16cid:durableId="1940260027">
    <w:abstractNumId w:val="12"/>
  </w:num>
  <w:num w:numId="26" w16cid:durableId="1756434714">
    <w:abstractNumId w:val="21"/>
  </w:num>
  <w:num w:numId="27" w16cid:durableId="1194997819">
    <w:abstractNumId w:val="24"/>
  </w:num>
  <w:num w:numId="28" w16cid:durableId="1783722179">
    <w:abstractNumId w:val="0"/>
  </w:num>
  <w:num w:numId="29" w16cid:durableId="21077301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55277395">
    <w:abstractNumId w:val="7"/>
  </w:num>
  <w:num w:numId="31" w16cid:durableId="15846704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69221479">
    <w:abstractNumId w:val="29"/>
  </w:num>
  <w:num w:numId="33" w16cid:durableId="208548745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2259917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5679419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1115019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345"/>
    <w:rsid w:val="00005BB5"/>
    <w:rsid w:val="000109E6"/>
    <w:rsid w:val="000135AD"/>
    <w:rsid w:val="000145B6"/>
    <w:rsid w:val="00016EB7"/>
    <w:rsid w:val="00021194"/>
    <w:rsid w:val="00024839"/>
    <w:rsid w:val="00034349"/>
    <w:rsid w:val="0003580B"/>
    <w:rsid w:val="0004101E"/>
    <w:rsid w:val="000410EF"/>
    <w:rsid w:val="000452A9"/>
    <w:rsid w:val="00045EA2"/>
    <w:rsid w:val="00051788"/>
    <w:rsid w:val="00054CE1"/>
    <w:rsid w:val="0006126F"/>
    <w:rsid w:val="00063051"/>
    <w:rsid w:val="0006328E"/>
    <w:rsid w:val="00064134"/>
    <w:rsid w:val="0006609B"/>
    <w:rsid w:val="0006746E"/>
    <w:rsid w:val="0007088A"/>
    <w:rsid w:val="00071242"/>
    <w:rsid w:val="000712E0"/>
    <w:rsid w:val="0007339B"/>
    <w:rsid w:val="00074A8F"/>
    <w:rsid w:val="00075599"/>
    <w:rsid w:val="0007678A"/>
    <w:rsid w:val="000814EF"/>
    <w:rsid w:val="00083585"/>
    <w:rsid w:val="00084634"/>
    <w:rsid w:val="000920BE"/>
    <w:rsid w:val="000946B7"/>
    <w:rsid w:val="0009516B"/>
    <w:rsid w:val="000A0007"/>
    <w:rsid w:val="000A0F6A"/>
    <w:rsid w:val="000A1840"/>
    <w:rsid w:val="000A7CE5"/>
    <w:rsid w:val="000B0AFE"/>
    <w:rsid w:val="000B6C26"/>
    <w:rsid w:val="000B6F67"/>
    <w:rsid w:val="000B7246"/>
    <w:rsid w:val="000B7E2A"/>
    <w:rsid w:val="000C49E7"/>
    <w:rsid w:val="000D0129"/>
    <w:rsid w:val="000D142A"/>
    <w:rsid w:val="000D187C"/>
    <w:rsid w:val="000D2F0C"/>
    <w:rsid w:val="000D33E8"/>
    <w:rsid w:val="000D3E85"/>
    <w:rsid w:val="000D6CBE"/>
    <w:rsid w:val="000D74BA"/>
    <w:rsid w:val="000E1A07"/>
    <w:rsid w:val="000E3CA8"/>
    <w:rsid w:val="000E60C4"/>
    <w:rsid w:val="000F69EF"/>
    <w:rsid w:val="00101754"/>
    <w:rsid w:val="00102699"/>
    <w:rsid w:val="00113285"/>
    <w:rsid w:val="00114F5B"/>
    <w:rsid w:val="00115D7B"/>
    <w:rsid w:val="00117524"/>
    <w:rsid w:val="001207F6"/>
    <w:rsid w:val="00130D96"/>
    <w:rsid w:val="00134F85"/>
    <w:rsid w:val="0013638C"/>
    <w:rsid w:val="001377FE"/>
    <w:rsid w:val="00140802"/>
    <w:rsid w:val="00143E30"/>
    <w:rsid w:val="001509E8"/>
    <w:rsid w:val="00150D86"/>
    <w:rsid w:val="00152AE5"/>
    <w:rsid w:val="00152FC1"/>
    <w:rsid w:val="001575B5"/>
    <w:rsid w:val="00160657"/>
    <w:rsid w:val="00162280"/>
    <w:rsid w:val="00164578"/>
    <w:rsid w:val="0017024B"/>
    <w:rsid w:val="001714E5"/>
    <w:rsid w:val="00172166"/>
    <w:rsid w:val="00172243"/>
    <w:rsid w:val="00181E70"/>
    <w:rsid w:val="00182331"/>
    <w:rsid w:val="00184F35"/>
    <w:rsid w:val="00187902"/>
    <w:rsid w:val="00190135"/>
    <w:rsid w:val="00191CAB"/>
    <w:rsid w:val="001959FF"/>
    <w:rsid w:val="00195C56"/>
    <w:rsid w:val="001A032C"/>
    <w:rsid w:val="001A2BB1"/>
    <w:rsid w:val="001A331B"/>
    <w:rsid w:val="001B510F"/>
    <w:rsid w:val="001C5BE8"/>
    <w:rsid w:val="001C794B"/>
    <w:rsid w:val="001D3663"/>
    <w:rsid w:val="001D445E"/>
    <w:rsid w:val="001E4BF2"/>
    <w:rsid w:val="001E6E67"/>
    <w:rsid w:val="001F1B30"/>
    <w:rsid w:val="001F247F"/>
    <w:rsid w:val="001F2E42"/>
    <w:rsid w:val="001F4475"/>
    <w:rsid w:val="001F4A06"/>
    <w:rsid w:val="001F71E0"/>
    <w:rsid w:val="00202837"/>
    <w:rsid w:val="002073DE"/>
    <w:rsid w:val="00225A5C"/>
    <w:rsid w:val="002311FF"/>
    <w:rsid w:val="002343E4"/>
    <w:rsid w:val="00236377"/>
    <w:rsid w:val="00236B00"/>
    <w:rsid w:val="00241F25"/>
    <w:rsid w:val="0024219A"/>
    <w:rsid w:val="00242CFB"/>
    <w:rsid w:val="002432C3"/>
    <w:rsid w:val="00245A59"/>
    <w:rsid w:val="00246922"/>
    <w:rsid w:val="002502E7"/>
    <w:rsid w:val="00254154"/>
    <w:rsid w:val="002546E4"/>
    <w:rsid w:val="002558E3"/>
    <w:rsid w:val="00261C38"/>
    <w:rsid w:val="002655B7"/>
    <w:rsid w:val="00267B32"/>
    <w:rsid w:val="002700CD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3311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B57E9"/>
    <w:rsid w:val="002C2A63"/>
    <w:rsid w:val="002C4AEF"/>
    <w:rsid w:val="002C7B83"/>
    <w:rsid w:val="002D0AE8"/>
    <w:rsid w:val="002D0CA4"/>
    <w:rsid w:val="002D3DC6"/>
    <w:rsid w:val="002D4845"/>
    <w:rsid w:val="002D6088"/>
    <w:rsid w:val="002E1F0B"/>
    <w:rsid w:val="002E5099"/>
    <w:rsid w:val="002E6D4A"/>
    <w:rsid w:val="002F08C4"/>
    <w:rsid w:val="002F167E"/>
    <w:rsid w:val="002F3F67"/>
    <w:rsid w:val="002F4C92"/>
    <w:rsid w:val="002F5FA4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16F62"/>
    <w:rsid w:val="003209C7"/>
    <w:rsid w:val="003225EC"/>
    <w:rsid w:val="0032262E"/>
    <w:rsid w:val="0032690A"/>
    <w:rsid w:val="00326CB3"/>
    <w:rsid w:val="00330705"/>
    <w:rsid w:val="00333B7F"/>
    <w:rsid w:val="003415D0"/>
    <w:rsid w:val="00341E27"/>
    <w:rsid w:val="00344166"/>
    <w:rsid w:val="003475A3"/>
    <w:rsid w:val="00354DDB"/>
    <w:rsid w:val="00360834"/>
    <w:rsid w:val="003653C9"/>
    <w:rsid w:val="00366DCA"/>
    <w:rsid w:val="003722F8"/>
    <w:rsid w:val="0037336F"/>
    <w:rsid w:val="00373CAF"/>
    <w:rsid w:val="00376AD3"/>
    <w:rsid w:val="00377E65"/>
    <w:rsid w:val="00387994"/>
    <w:rsid w:val="00394FAC"/>
    <w:rsid w:val="0039651E"/>
    <w:rsid w:val="003A0CFC"/>
    <w:rsid w:val="003A26C9"/>
    <w:rsid w:val="003A2D44"/>
    <w:rsid w:val="003A4597"/>
    <w:rsid w:val="003A5FC0"/>
    <w:rsid w:val="003A73B5"/>
    <w:rsid w:val="003C04C7"/>
    <w:rsid w:val="003D3B68"/>
    <w:rsid w:val="003D7A12"/>
    <w:rsid w:val="003E5688"/>
    <w:rsid w:val="003E6BB6"/>
    <w:rsid w:val="003E7F1B"/>
    <w:rsid w:val="003E7F33"/>
    <w:rsid w:val="003F2D35"/>
    <w:rsid w:val="003F3DC2"/>
    <w:rsid w:val="003F651E"/>
    <w:rsid w:val="003F6FDF"/>
    <w:rsid w:val="004069C1"/>
    <w:rsid w:val="00406E68"/>
    <w:rsid w:val="004143A6"/>
    <w:rsid w:val="00420D67"/>
    <w:rsid w:val="00421E58"/>
    <w:rsid w:val="00425BA4"/>
    <w:rsid w:val="00426C62"/>
    <w:rsid w:val="00430833"/>
    <w:rsid w:val="004309BC"/>
    <w:rsid w:val="0043149E"/>
    <w:rsid w:val="004341F5"/>
    <w:rsid w:val="00434548"/>
    <w:rsid w:val="004368EA"/>
    <w:rsid w:val="0043700F"/>
    <w:rsid w:val="00437E26"/>
    <w:rsid w:val="00442511"/>
    <w:rsid w:val="00443554"/>
    <w:rsid w:val="0044472A"/>
    <w:rsid w:val="00444CB6"/>
    <w:rsid w:val="0044659E"/>
    <w:rsid w:val="0045039F"/>
    <w:rsid w:val="004534C8"/>
    <w:rsid w:val="00455444"/>
    <w:rsid w:val="004733CB"/>
    <w:rsid w:val="004743EA"/>
    <w:rsid w:val="004761D0"/>
    <w:rsid w:val="00480529"/>
    <w:rsid w:val="00482E87"/>
    <w:rsid w:val="00483A79"/>
    <w:rsid w:val="00486882"/>
    <w:rsid w:val="00490A21"/>
    <w:rsid w:val="00491AAC"/>
    <w:rsid w:val="00491B2D"/>
    <w:rsid w:val="00493B6E"/>
    <w:rsid w:val="00495597"/>
    <w:rsid w:val="00496663"/>
    <w:rsid w:val="00496C73"/>
    <w:rsid w:val="004A34D6"/>
    <w:rsid w:val="004A48C5"/>
    <w:rsid w:val="004A7E80"/>
    <w:rsid w:val="004B01D2"/>
    <w:rsid w:val="004B051B"/>
    <w:rsid w:val="004B08DE"/>
    <w:rsid w:val="004B11B6"/>
    <w:rsid w:val="004B26B8"/>
    <w:rsid w:val="004B6C7E"/>
    <w:rsid w:val="004C4A15"/>
    <w:rsid w:val="004D52A7"/>
    <w:rsid w:val="004D7046"/>
    <w:rsid w:val="004D761C"/>
    <w:rsid w:val="004E1CA6"/>
    <w:rsid w:val="004E26A4"/>
    <w:rsid w:val="004E2A59"/>
    <w:rsid w:val="004E51F8"/>
    <w:rsid w:val="004F59E3"/>
    <w:rsid w:val="00506C12"/>
    <w:rsid w:val="00507A84"/>
    <w:rsid w:val="00511260"/>
    <w:rsid w:val="00520B7A"/>
    <w:rsid w:val="00524C09"/>
    <w:rsid w:val="005257DF"/>
    <w:rsid w:val="00525A73"/>
    <w:rsid w:val="00526EB1"/>
    <w:rsid w:val="00531B20"/>
    <w:rsid w:val="00535DDE"/>
    <w:rsid w:val="00536527"/>
    <w:rsid w:val="00537B2D"/>
    <w:rsid w:val="0054022E"/>
    <w:rsid w:val="005424BC"/>
    <w:rsid w:val="00547CB5"/>
    <w:rsid w:val="0055207D"/>
    <w:rsid w:val="00556055"/>
    <w:rsid w:val="005567E5"/>
    <w:rsid w:val="005569F7"/>
    <w:rsid w:val="00561750"/>
    <w:rsid w:val="00564C53"/>
    <w:rsid w:val="005669C9"/>
    <w:rsid w:val="00567711"/>
    <w:rsid w:val="00570092"/>
    <w:rsid w:val="00570311"/>
    <w:rsid w:val="00571D03"/>
    <w:rsid w:val="00573A33"/>
    <w:rsid w:val="00574428"/>
    <w:rsid w:val="00574D30"/>
    <w:rsid w:val="00575A68"/>
    <w:rsid w:val="00575CD6"/>
    <w:rsid w:val="0058279C"/>
    <w:rsid w:val="00584709"/>
    <w:rsid w:val="00586F29"/>
    <w:rsid w:val="00590252"/>
    <w:rsid w:val="00590BAC"/>
    <w:rsid w:val="00593EEC"/>
    <w:rsid w:val="005A3CA2"/>
    <w:rsid w:val="005A46DB"/>
    <w:rsid w:val="005A60FE"/>
    <w:rsid w:val="005A6C5D"/>
    <w:rsid w:val="005B7133"/>
    <w:rsid w:val="005C3136"/>
    <w:rsid w:val="005D180C"/>
    <w:rsid w:val="005D7684"/>
    <w:rsid w:val="005E001F"/>
    <w:rsid w:val="005E09DD"/>
    <w:rsid w:val="005E65DE"/>
    <w:rsid w:val="005E7666"/>
    <w:rsid w:val="005E7DFA"/>
    <w:rsid w:val="005F0320"/>
    <w:rsid w:val="005F45C7"/>
    <w:rsid w:val="005F56A4"/>
    <w:rsid w:val="005F77FE"/>
    <w:rsid w:val="00601759"/>
    <w:rsid w:val="0060238E"/>
    <w:rsid w:val="0060558B"/>
    <w:rsid w:val="00613874"/>
    <w:rsid w:val="0061523C"/>
    <w:rsid w:val="006162D6"/>
    <w:rsid w:val="00617F20"/>
    <w:rsid w:val="00620901"/>
    <w:rsid w:val="00623205"/>
    <w:rsid w:val="00625D3F"/>
    <w:rsid w:val="00626C92"/>
    <w:rsid w:val="00630BDD"/>
    <w:rsid w:val="0063199E"/>
    <w:rsid w:val="00642942"/>
    <w:rsid w:val="00645779"/>
    <w:rsid w:val="00645F4A"/>
    <w:rsid w:val="00647595"/>
    <w:rsid w:val="00651162"/>
    <w:rsid w:val="006511F4"/>
    <w:rsid w:val="0065214C"/>
    <w:rsid w:val="00653186"/>
    <w:rsid w:val="006558E2"/>
    <w:rsid w:val="00656F36"/>
    <w:rsid w:val="00657FCD"/>
    <w:rsid w:val="00661A5A"/>
    <w:rsid w:val="00661A77"/>
    <w:rsid w:val="00661CF0"/>
    <w:rsid w:val="00662203"/>
    <w:rsid w:val="00664E44"/>
    <w:rsid w:val="006653CE"/>
    <w:rsid w:val="00667B12"/>
    <w:rsid w:val="0067712C"/>
    <w:rsid w:val="00677B79"/>
    <w:rsid w:val="00680556"/>
    <w:rsid w:val="00685D3A"/>
    <w:rsid w:val="00686170"/>
    <w:rsid w:val="00687E2F"/>
    <w:rsid w:val="00690E2B"/>
    <w:rsid w:val="00693268"/>
    <w:rsid w:val="006967A1"/>
    <w:rsid w:val="00697D61"/>
    <w:rsid w:val="006A233F"/>
    <w:rsid w:val="006A2813"/>
    <w:rsid w:val="006A34B5"/>
    <w:rsid w:val="006A4B7F"/>
    <w:rsid w:val="006A5254"/>
    <w:rsid w:val="006A5C91"/>
    <w:rsid w:val="006A73BD"/>
    <w:rsid w:val="006A74D8"/>
    <w:rsid w:val="006A7D1D"/>
    <w:rsid w:val="006B042C"/>
    <w:rsid w:val="006B30CB"/>
    <w:rsid w:val="006B3141"/>
    <w:rsid w:val="006C2C20"/>
    <w:rsid w:val="006C361F"/>
    <w:rsid w:val="006C6EEC"/>
    <w:rsid w:val="006D0F20"/>
    <w:rsid w:val="006D1681"/>
    <w:rsid w:val="006D1AE9"/>
    <w:rsid w:val="006D53DF"/>
    <w:rsid w:val="006E284C"/>
    <w:rsid w:val="006E5BF3"/>
    <w:rsid w:val="006F3164"/>
    <w:rsid w:val="006F55BD"/>
    <w:rsid w:val="006F5FFC"/>
    <w:rsid w:val="006F7173"/>
    <w:rsid w:val="007140C4"/>
    <w:rsid w:val="00716406"/>
    <w:rsid w:val="0071672C"/>
    <w:rsid w:val="00731DC6"/>
    <w:rsid w:val="00731F11"/>
    <w:rsid w:val="007320DF"/>
    <w:rsid w:val="007409ED"/>
    <w:rsid w:val="00750960"/>
    <w:rsid w:val="007545AF"/>
    <w:rsid w:val="00754963"/>
    <w:rsid w:val="00763FA6"/>
    <w:rsid w:val="007670DE"/>
    <w:rsid w:val="007704FD"/>
    <w:rsid w:val="00770693"/>
    <w:rsid w:val="007741FA"/>
    <w:rsid w:val="00780D4E"/>
    <w:rsid w:val="00780E6F"/>
    <w:rsid w:val="0078181C"/>
    <w:rsid w:val="007825EA"/>
    <w:rsid w:val="007918F4"/>
    <w:rsid w:val="007920FC"/>
    <w:rsid w:val="00792C0D"/>
    <w:rsid w:val="00793FBC"/>
    <w:rsid w:val="007940F9"/>
    <w:rsid w:val="00797863"/>
    <w:rsid w:val="007A0229"/>
    <w:rsid w:val="007A1177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E7C7F"/>
    <w:rsid w:val="007F4E70"/>
    <w:rsid w:val="007F64B1"/>
    <w:rsid w:val="008048B9"/>
    <w:rsid w:val="00817356"/>
    <w:rsid w:val="00817FA9"/>
    <w:rsid w:val="00820EAA"/>
    <w:rsid w:val="00820FF1"/>
    <w:rsid w:val="008230A3"/>
    <w:rsid w:val="0082749E"/>
    <w:rsid w:val="008304D5"/>
    <w:rsid w:val="00832735"/>
    <w:rsid w:val="008329AD"/>
    <w:rsid w:val="008368BA"/>
    <w:rsid w:val="008414EF"/>
    <w:rsid w:val="00841FE4"/>
    <w:rsid w:val="0084242C"/>
    <w:rsid w:val="00842493"/>
    <w:rsid w:val="0084371C"/>
    <w:rsid w:val="00851E93"/>
    <w:rsid w:val="00854235"/>
    <w:rsid w:val="008554E8"/>
    <w:rsid w:val="008638F9"/>
    <w:rsid w:val="00864F5F"/>
    <w:rsid w:val="00875CD1"/>
    <w:rsid w:val="008769C4"/>
    <w:rsid w:val="0088006B"/>
    <w:rsid w:val="00880212"/>
    <w:rsid w:val="00880D9C"/>
    <w:rsid w:val="008906BB"/>
    <w:rsid w:val="008978B1"/>
    <w:rsid w:val="008A5CD2"/>
    <w:rsid w:val="008A7939"/>
    <w:rsid w:val="008B2C8D"/>
    <w:rsid w:val="008B4716"/>
    <w:rsid w:val="008B4CF1"/>
    <w:rsid w:val="008B4EFA"/>
    <w:rsid w:val="008C0584"/>
    <w:rsid w:val="008C125E"/>
    <w:rsid w:val="008C12D0"/>
    <w:rsid w:val="008C30F9"/>
    <w:rsid w:val="008C3469"/>
    <w:rsid w:val="008C58C3"/>
    <w:rsid w:val="008D062B"/>
    <w:rsid w:val="008D3657"/>
    <w:rsid w:val="008D5006"/>
    <w:rsid w:val="008D7410"/>
    <w:rsid w:val="008E00DE"/>
    <w:rsid w:val="008F0416"/>
    <w:rsid w:val="008F1E3E"/>
    <w:rsid w:val="008F3FDB"/>
    <w:rsid w:val="00903C1E"/>
    <w:rsid w:val="00907931"/>
    <w:rsid w:val="00907A3E"/>
    <w:rsid w:val="00916EF2"/>
    <w:rsid w:val="009208F4"/>
    <w:rsid w:val="009226AB"/>
    <w:rsid w:val="00924D4D"/>
    <w:rsid w:val="009252F1"/>
    <w:rsid w:val="0092590A"/>
    <w:rsid w:val="00927526"/>
    <w:rsid w:val="00932430"/>
    <w:rsid w:val="00932A6A"/>
    <w:rsid w:val="00933181"/>
    <w:rsid w:val="00933BFB"/>
    <w:rsid w:val="00942D67"/>
    <w:rsid w:val="00946486"/>
    <w:rsid w:val="00946C8B"/>
    <w:rsid w:val="0095204D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D2F01"/>
    <w:rsid w:val="009D34A2"/>
    <w:rsid w:val="009D6A0E"/>
    <w:rsid w:val="009E2F63"/>
    <w:rsid w:val="009E59A2"/>
    <w:rsid w:val="009F3192"/>
    <w:rsid w:val="009F39F8"/>
    <w:rsid w:val="009F6EFE"/>
    <w:rsid w:val="00A01BB7"/>
    <w:rsid w:val="00A04DB4"/>
    <w:rsid w:val="00A06B20"/>
    <w:rsid w:val="00A14C31"/>
    <w:rsid w:val="00A14E2A"/>
    <w:rsid w:val="00A20DA4"/>
    <w:rsid w:val="00A22B7A"/>
    <w:rsid w:val="00A25886"/>
    <w:rsid w:val="00A33A91"/>
    <w:rsid w:val="00A34462"/>
    <w:rsid w:val="00A34878"/>
    <w:rsid w:val="00A35E86"/>
    <w:rsid w:val="00A36C98"/>
    <w:rsid w:val="00A42B17"/>
    <w:rsid w:val="00A43E01"/>
    <w:rsid w:val="00A5289B"/>
    <w:rsid w:val="00A53DE4"/>
    <w:rsid w:val="00A542C4"/>
    <w:rsid w:val="00A56C94"/>
    <w:rsid w:val="00A60E5B"/>
    <w:rsid w:val="00A62953"/>
    <w:rsid w:val="00A649AD"/>
    <w:rsid w:val="00A718B2"/>
    <w:rsid w:val="00A7476F"/>
    <w:rsid w:val="00A76B73"/>
    <w:rsid w:val="00A77F7C"/>
    <w:rsid w:val="00A80C63"/>
    <w:rsid w:val="00A813AA"/>
    <w:rsid w:val="00A84790"/>
    <w:rsid w:val="00A84C9B"/>
    <w:rsid w:val="00A8620C"/>
    <w:rsid w:val="00A865D8"/>
    <w:rsid w:val="00A94B16"/>
    <w:rsid w:val="00A96312"/>
    <w:rsid w:val="00AA1193"/>
    <w:rsid w:val="00AA672D"/>
    <w:rsid w:val="00AA70CA"/>
    <w:rsid w:val="00AB11FC"/>
    <w:rsid w:val="00AB28B2"/>
    <w:rsid w:val="00AB4622"/>
    <w:rsid w:val="00AC0B6B"/>
    <w:rsid w:val="00AC0C87"/>
    <w:rsid w:val="00AC2D6A"/>
    <w:rsid w:val="00AC5419"/>
    <w:rsid w:val="00AC575D"/>
    <w:rsid w:val="00AD2F1C"/>
    <w:rsid w:val="00AD2F83"/>
    <w:rsid w:val="00AD394C"/>
    <w:rsid w:val="00AD46F9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60117"/>
    <w:rsid w:val="00B605F0"/>
    <w:rsid w:val="00B61BCE"/>
    <w:rsid w:val="00B62C27"/>
    <w:rsid w:val="00B67224"/>
    <w:rsid w:val="00B72717"/>
    <w:rsid w:val="00B83B4D"/>
    <w:rsid w:val="00B83DAE"/>
    <w:rsid w:val="00B92C2B"/>
    <w:rsid w:val="00BA0B8E"/>
    <w:rsid w:val="00BA29EB"/>
    <w:rsid w:val="00BA54F7"/>
    <w:rsid w:val="00BB0A0F"/>
    <w:rsid w:val="00BB2E04"/>
    <w:rsid w:val="00BB37A8"/>
    <w:rsid w:val="00BB4B32"/>
    <w:rsid w:val="00BB6E48"/>
    <w:rsid w:val="00BC0357"/>
    <w:rsid w:val="00BC0B06"/>
    <w:rsid w:val="00BC1717"/>
    <w:rsid w:val="00BC25E1"/>
    <w:rsid w:val="00BC47CA"/>
    <w:rsid w:val="00BC7FB8"/>
    <w:rsid w:val="00BD5E2F"/>
    <w:rsid w:val="00BD6CBD"/>
    <w:rsid w:val="00BD6DE4"/>
    <w:rsid w:val="00BE4877"/>
    <w:rsid w:val="00BF1E88"/>
    <w:rsid w:val="00BF5BB6"/>
    <w:rsid w:val="00C00C88"/>
    <w:rsid w:val="00C02479"/>
    <w:rsid w:val="00C024FB"/>
    <w:rsid w:val="00C02710"/>
    <w:rsid w:val="00C11F1F"/>
    <w:rsid w:val="00C1700A"/>
    <w:rsid w:val="00C17469"/>
    <w:rsid w:val="00C24436"/>
    <w:rsid w:val="00C248C0"/>
    <w:rsid w:val="00C26AA2"/>
    <w:rsid w:val="00C27CD3"/>
    <w:rsid w:val="00C36A7B"/>
    <w:rsid w:val="00C37BAF"/>
    <w:rsid w:val="00C45DDD"/>
    <w:rsid w:val="00C47781"/>
    <w:rsid w:val="00C54858"/>
    <w:rsid w:val="00C61F10"/>
    <w:rsid w:val="00C673D3"/>
    <w:rsid w:val="00C72757"/>
    <w:rsid w:val="00C73C12"/>
    <w:rsid w:val="00C74574"/>
    <w:rsid w:val="00C80DAB"/>
    <w:rsid w:val="00C83C87"/>
    <w:rsid w:val="00C83D46"/>
    <w:rsid w:val="00C84A29"/>
    <w:rsid w:val="00C854A6"/>
    <w:rsid w:val="00C8595A"/>
    <w:rsid w:val="00C872F4"/>
    <w:rsid w:val="00C906F0"/>
    <w:rsid w:val="00C92A79"/>
    <w:rsid w:val="00C94FEF"/>
    <w:rsid w:val="00C954B4"/>
    <w:rsid w:val="00CA3888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E27EA"/>
    <w:rsid w:val="00CE3C12"/>
    <w:rsid w:val="00CF0411"/>
    <w:rsid w:val="00CF07D3"/>
    <w:rsid w:val="00CF0F21"/>
    <w:rsid w:val="00CF33BC"/>
    <w:rsid w:val="00D07F06"/>
    <w:rsid w:val="00D11C2C"/>
    <w:rsid w:val="00D11C3D"/>
    <w:rsid w:val="00D141F9"/>
    <w:rsid w:val="00D15612"/>
    <w:rsid w:val="00D201AC"/>
    <w:rsid w:val="00D21BB5"/>
    <w:rsid w:val="00D26AA6"/>
    <w:rsid w:val="00D31EDE"/>
    <w:rsid w:val="00D33C81"/>
    <w:rsid w:val="00D35AF6"/>
    <w:rsid w:val="00D35D7C"/>
    <w:rsid w:val="00D3773C"/>
    <w:rsid w:val="00D40FE8"/>
    <w:rsid w:val="00D417C3"/>
    <w:rsid w:val="00D420C8"/>
    <w:rsid w:val="00D448FF"/>
    <w:rsid w:val="00D44BB1"/>
    <w:rsid w:val="00D47EA5"/>
    <w:rsid w:val="00D55D59"/>
    <w:rsid w:val="00D56040"/>
    <w:rsid w:val="00D56BE7"/>
    <w:rsid w:val="00D5756E"/>
    <w:rsid w:val="00D602E1"/>
    <w:rsid w:val="00D60FC1"/>
    <w:rsid w:val="00D656F3"/>
    <w:rsid w:val="00D65C9A"/>
    <w:rsid w:val="00D6713B"/>
    <w:rsid w:val="00D725FD"/>
    <w:rsid w:val="00D73184"/>
    <w:rsid w:val="00D80D69"/>
    <w:rsid w:val="00D812DA"/>
    <w:rsid w:val="00D84439"/>
    <w:rsid w:val="00D84F4E"/>
    <w:rsid w:val="00D8619C"/>
    <w:rsid w:val="00D9172F"/>
    <w:rsid w:val="00D920BC"/>
    <w:rsid w:val="00D93CCA"/>
    <w:rsid w:val="00D94C7D"/>
    <w:rsid w:val="00D94CA4"/>
    <w:rsid w:val="00D9510D"/>
    <w:rsid w:val="00DA0E17"/>
    <w:rsid w:val="00DA1DE6"/>
    <w:rsid w:val="00DA502A"/>
    <w:rsid w:val="00DA7C36"/>
    <w:rsid w:val="00DB0BD0"/>
    <w:rsid w:val="00DB5709"/>
    <w:rsid w:val="00DB6EDE"/>
    <w:rsid w:val="00DC1B2E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5A83"/>
    <w:rsid w:val="00DF5B59"/>
    <w:rsid w:val="00DF5B6B"/>
    <w:rsid w:val="00DF5F30"/>
    <w:rsid w:val="00E0021C"/>
    <w:rsid w:val="00E00314"/>
    <w:rsid w:val="00E015C6"/>
    <w:rsid w:val="00E015FA"/>
    <w:rsid w:val="00E022FA"/>
    <w:rsid w:val="00E0301F"/>
    <w:rsid w:val="00E0319D"/>
    <w:rsid w:val="00E063AE"/>
    <w:rsid w:val="00E10B74"/>
    <w:rsid w:val="00E13CB4"/>
    <w:rsid w:val="00E14B47"/>
    <w:rsid w:val="00E23F8A"/>
    <w:rsid w:val="00E27CAA"/>
    <w:rsid w:val="00E31E32"/>
    <w:rsid w:val="00E32293"/>
    <w:rsid w:val="00E4076C"/>
    <w:rsid w:val="00E415C1"/>
    <w:rsid w:val="00E42487"/>
    <w:rsid w:val="00E44E7D"/>
    <w:rsid w:val="00E45C75"/>
    <w:rsid w:val="00E4759E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5D27"/>
    <w:rsid w:val="00E67FE1"/>
    <w:rsid w:val="00E704B1"/>
    <w:rsid w:val="00E7245C"/>
    <w:rsid w:val="00E7348A"/>
    <w:rsid w:val="00E81071"/>
    <w:rsid w:val="00E84CFE"/>
    <w:rsid w:val="00E879B7"/>
    <w:rsid w:val="00E9081E"/>
    <w:rsid w:val="00E91139"/>
    <w:rsid w:val="00E969F3"/>
    <w:rsid w:val="00E97541"/>
    <w:rsid w:val="00EA0D21"/>
    <w:rsid w:val="00EA1931"/>
    <w:rsid w:val="00EC33FE"/>
    <w:rsid w:val="00EC74C7"/>
    <w:rsid w:val="00ED1E9F"/>
    <w:rsid w:val="00ED3545"/>
    <w:rsid w:val="00ED654B"/>
    <w:rsid w:val="00ED692B"/>
    <w:rsid w:val="00ED69FC"/>
    <w:rsid w:val="00ED72DB"/>
    <w:rsid w:val="00EE4B17"/>
    <w:rsid w:val="00EF20B4"/>
    <w:rsid w:val="00EF3E38"/>
    <w:rsid w:val="00EF44FF"/>
    <w:rsid w:val="00F05D99"/>
    <w:rsid w:val="00F078F2"/>
    <w:rsid w:val="00F107A9"/>
    <w:rsid w:val="00F1402F"/>
    <w:rsid w:val="00F169AA"/>
    <w:rsid w:val="00F31833"/>
    <w:rsid w:val="00F3221F"/>
    <w:rsid w:val="00F37BFA"/>
    <w:rsid w:val="00F47CD2"/>
    <w:rsid w:val="00F520F2"/>
    <w:rsid w:val="00F534EC"/>
    <w:rsid w:val="00F57C26"/>
    <w:rsid w:val="00F636F5"/>
    <w:rsid w:val="00F63CD4"/>
    <w:rsid w:val="00F659E6"/>
    <w:rsid w:val="00F72C1F"/>
    <w:rsid w:val="00F72F43"/>
    <w:rsid w:val="00F82213"/>
    <w:rsid w:val="00F84FD6"/>
    <w:rsid w:val="00F87AC9"/>
    <w:rsid w:val="00F97EFD"/>
    <w:rsid w:val="00FA0EA8"/>
    <w:rsid w:val="00FA1D6C"/>
    <w:rsid w:val="00FA3CC3"/>
    <w:rsid w:val="00FA7E24"/>
    <w:rsid w:val="00FB2D25"/>
    <w:rsid w:val="00FB37A4"/>
    <w:rsid w:val="00FB415B"/>
    <w:rsid w:val="00FC3194"/>
    <w:rsid w:val="00FC50C7"/>
    <w:rsid w:val="00FC51E6"/>
    <w:rsid w:val="00FC5D13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A00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A000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A000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t-BR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0A000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9"/>
    <w:semiHidden/>
    <w:unhideWhenUsed/>
    <w:qFormat/>
    <w:rsid w:val="000A000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0A0007"/>
    <w:pPr>
      <w:tabs>
        <w:tab w:val="left" w:pos="6480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qFormat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qFormat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qFormat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iPriority w:val="99"/>
    <w:unhideWhenUsed/>
    <w:qFormat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uiPriority w:val="99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qFormat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semiHidden/>
    <w:qFormat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  <w:style w:type="character" w:customStyle="1" w:styleId="Ttulo3Char">
    <w:name w:val="Título 3 Char"/>
    <w:basedOn w:val="Fontepargpadro"/>
    <w:link w:val="Ttulo3"/>
    <w:semiHidden/>
    <w:rsid w:val="000A000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A0007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0A0007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semiHidden/>
    <w:qFormat/>
    <w:rsid w:val="000A000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semiHidden/>
    <w:rsid w:val="000A0007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semiHidden/>
    <w:qFormat/>
    <w:rsid w:val="000A0007"/>
    <w:rPr>
      <w:rFonts w:ascii="Arial" w:eastAsia="Times New Roman" w:hAnsi="Arial" w:cs="Arial"/>
      <w:lang w:eastAsia="ar-SA"/>
    </w:rPr>
  </w:style>
  <w:style w:type="character" w:styleId="HiperlinkVisitado">
    <w:name w:val="FollowedHyperlink"/>
    <w:uiPriority w:val="99"/>
    <w:semiHidden/>
    <w:unhideWhenUsed/>
    <w:rsid w:val="000A0007"/>
    <w:rPr>
      <w:color w:val="800080"/>
      <w:u w:val="single"/>
    </w:rPr>
  </w:style>
  <w:style w:type="paragraph" w:customStyle="1" w:styleId="msonormal0">
    <w:name w:val="msonormal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styleId="Commarcadores">
    <w:name w:val="List Bullet"/>
    <w:basedOn w:val="Normal"/>
    <w:uiPriority w:val="99"/>
    <w:semiHidden/>
    <w:unhideWhenUsed/>
    <w:qFormat/>
    <w:rsid w:val="000A0007"/>
    <w:pPr>
      <w:numPr>
        <w:numId w:val="28"/>
      </w:numPr>
      <w:tabs>
        <w:tab w:val="clear" w:pos="360"/>
        <w:tab w:val="left" w:pos="720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A0007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0A0007"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Default">
    <w:name w:val="Default"/>
    <w:uiPriority w:val="99"/>
    <w:qFormat/>
    <w:rsid w:val="000A000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Recuodecorpodetexto21">
    <w:name w:val="Recuo de corpo de texto 2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Corpodetexto31">
    <w:name w:val="Corpo de texto 3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2">
    <w:name w:val="Recuo de corpo de texto 3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color w:val="0000FF"/>
      <w:sz w:val="28"/>
      <w:szCs w:val="20"/>
      <w:lang w:eastAsia="ar-SA"/>
    </w:rPr>
  </w:style>
  <w:style w:type="paragraph" w:customStyle="1" w:styleId="Corpodetexto22">
    <w:name w:val="Corpo de texto 22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paragrafo">
    <w:name w:val="paragrafo"/>
    <w:basedOn w:val="Normal"/>
    <w:uiPriority w:val="99"/>
    <w:qFormat/>
    <w:rsid w:val="000A0007"/>
    <w:pPr>
      <w:widowControl w:val="0"/>
      <w:suppressLineNumbers/>
      <w:suppressAutoHyphens/>
      <w:spacing w:after="12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CorpoPadro">
    <w:name w:val="Corpo Padrão"/>
    <w:basedOn w:val="Normal"/>
    <w:uiPriority w:val="99"/>
    <w:qFormat/>
    <w:rsid w:val="000A0007"/>
    <w:pPr>
      <w:suppressAutoHyphens/>
      <w:spacing w:line="360" w:lineRule="exact"/>
      <w:ind w:firstLine="2302"/>
      <w:jc w:val="both"/>
    </w:pPr>
    <w:rPr>
      <w:rFonts w:ascii="Arial" w:eastAsia="Times New Roman" w:hAnsi="Arial" w:cs="Times New Roman"/>
      <w:color w:val="000000"/>
      <w:sz w:val="24"/>
      <w:szCs w:val="20"/>
      <w:lang w:eastAsia="ar-SA"/>
    </w:rPr>
  </w:style>
  <w:style w:type="paragraph" w:customStyle="1" w:styleId="Recuodecorpodetexto33">
    <w:name w:val="Recuo de corpo de texto 33"/>
    <w:basedOn w:val="Normal"/>
    <w:uiPriority w:val="99"/>
    <w:qFormat/>
    <w:rsid w:val="000A0007"/>
    <w:pPr>
      <w:spacing w:after="0" w:line="240" w:lineRule="auto"/>
      <w:ind w:firstLine="2835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Ttulo20">
    <w:name w:val="Título2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2">
    <w:name w:val="Legenda2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1">
    <w:name w:val="Legenda1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Contedodetabela">
    <w:name w:val="Conteúdo de tabela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detabela">
    <w:name w:val="Título de tabela"/>
    <w:basedOn w:val="Contedodetabela"/>
    <w:uiPriority w:val="99"/>
    <w:qFormat/>
    <w:rsid w:val="000A0007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uiPriority w:val="99"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customStyle="1" w:styleId="Reviso1">
    <w:name w:val="Revisão1"/>
    <w:uiPriority w:val="99"/>
    <w:semiHidden/>
    <w:qFormat/>
    <w:rsid w:val="000A00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-align-justify">
    <w:name w:val="text-align-justify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0A0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WW-Absatz-Standardschriftart1111111111">
    <w:name w:val="WW-Absatz-Standardschriftart1111111111"/>
    <w:rsid w:val="000A0007"/>
  </w:style>
  <w:style w:type="character" w:customStyle="1" w:styleId="texto01">
    <w:name w:val="texto01"/>
    <w:rsid w:val="000A0007"/>
  </w:style>
  <w:style w:type="character" w:customStyle="1" w:styleId="Fontepargpadro2">
    <w:name w:val="Fonte parág. padrão2"/>
    <w:rsid w:val="000A0007"/>
  </w:style>
  <w:style w:type="character" w:customStyle="1" w:styleId="Absatz-Standardschriftart">
    <w:name w:val="Absatz-Standardschriftart"/>
    <w:rsid w:val="000A0007"/>
  </w:style>
  <w:style w:type="character" w:customStyle="1" w:styleId="WW-Absatz-Standardschriftart">
    <w:name w:val="WW-Absatz-Standardschriftart"/>
    <w:rsid w:val="000A0007"/>
  </w:style>
  <w:style w:type="character" w:customStyle="1" w:styleId="WW-Absatz-Standardschriftart1">
    <w:name w:val="WW-Absatz-Standardschriftart1"/>
    <w:rsid w:val="000A0007"/>
  </w:style>
  <w:style w:type="character" w:customStyle="1" w:styleId="Fontepargpadro1">
    <w:name w:val="Fonte parág. padrão1"/>
    <w:rsid w:val="000A0007"/>
  </w:style>
  <w:style w:type="character" w:customStyle="1" w:styleId="apple-converted-space">
    <w:name w:val="apple-converted-space"/>
    <w:rsid w:val="000A0007"/>
  </w:style>
  <w:style w:type="table" w:customStyle="1" w:styleId="TableNormal">
    <w:name w:val="Table Normal"/>
    <w:uiPriority w:val="2"/>
    <w:qFormat/>
    <w:rsid w:val="000A00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merodepgina">
    <w:name w:val="page number"/>
    <w:basedOn w:val="Fontepargpadro"/>
    <w:semiHidden/>
    <w:unhideWhenUsed/>
    <w:rsid w:val="000A0007"/>
  </w:style>
  <w:style w:type="character" w:styleId="MenoPendente">
    <w:name w:val="Unresolved Mention"/>
    <w:basedOn w:val="Fontepargpadro"/>
    <w:uiPriority w:val="99"/>
    <w:semiHidden/>
    <w:unhideWhenUsed/>
    <w:rsid w:val="000A0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ismunicipais.com.br/a/sp/i/itapevi/lei-complementar/2005/3/34/lei-complementar-n-34-2005-dispoe-sobre-o-sistema-tributario-municipal-e-as-normas-gerais-de-direito-tributario-aplicaveis-ao-municipio-de-itapevi-e-da-outras-providencia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6</Pages>
  <Words>1652</Words>
  <Characters>10028</Characters>
  <Application>Microsoft Office Word</Application>
  <DocSecurity>0</DocSecurity>
  <Lines>271</Lines>
  <Paragraphs>174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61</cp:revision>
  <cp:lastPrinted>2025-10-14T14:13:00Z</cp:lastPrinted>
  <dcterms:created xsi:type="dcterms:W3CDTF">2025-09-30T18:36:00Z</dcterms:created>
  <dcterms:modified xsi:type="dcterms:W3CDTF">2025-12-03T20:32:00Z</dcterms:modified>
</cp:coreProperties>
</file>