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7A9B6" w14:textId="77777777" w:rsidR="00721556"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PARECER DA COMISSÃO DE FINANÇAS E ORÇAMENTO AO PROJETO DE LEI 427/2025</w:t>
      </w:r>
    </w:p>
    <w:p w14:paraId="46D6639E" w14:textId="77777777" w:rsidR="00721556" w:rsidRDefault="00721556">
      <w:pPr>
        <w:spacing w:after="0" w:line="240" w:lineRule="auto"/>
        <w:jc w:val="both"/>
        <w:rPr>
          <w:rFonts w:ascii="Times New Roman" w:eastAsia="Times New Roman" w:hAnsi="Times New Roman" w:cs="Times New Roman"/>
          <w:sz w:val="24"/>
          <w:szCs w:val="24"/>
        </w:rPr>
      </w:pPr>
    </w:p>
    <w:p w14:paraId="29B86D3B" w14:textId="77777777" w:rsidR="00721556" w:rsidRDefault="00721556">
      <w:pPr>
        <w:spacing w:after="0" w:line="240" w:lineRule="auto"/>
        <w:jc w:val="both"/>
        <w:rPr>
          <w:rFonts w:ascii="Times New Roman" w:eastAsia="Times New Roman" w:hAnsi="Times New Roman" w:cs="Times New Roman"/>
          <w:sz w:val="24"/>
          <w:szCs w:val="24"/>
        </w:rPr>
      </w:pPr>
    </w:p>
    <w:p w14:paraId="23433931" w14:textId="77777777" w:rsidR="00721556" w:rsidRDefault="00721556">
      <w:pPr>
        <w:spacing w:after="0" w:line="240" w:lineRule="auto"/>
        <w:jc w:val="both"/>
        <w:rPr>
          <w:rFonts w:ascii="Times New Roman" w:eastAsia="Times New Roman" w:hAnsi="Times New Roman" w:cs="Times New Roman"/>
          <w:sz w:val="24"/>
          <w:szCs w:val="24"/>
        </w:rPr>
      </w:pPr>
    </w:p>
    <w:p w14:paraId="64F5CE96"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Parecer Comissões nº 342/2025</w:t>
      </w:r>
    </w:p>
    <w:p w14:paraId="45033CC3" w14:textId="77777777" w:rsidR="00721556" w:rsidRDefault="00721556">
      <w:pPr>
        <w:spacing w:after="0" w:line="240" w:lineRule="auto"/>
        <w:jc w:val="both"/>
        <w:rPr>
          <w:rFonts w:ascii="Times New Roman" w:eastAsia="Times New Roman" w:hAnsi="Times New Roman" w:cs="Times New Roman"/>
          <w:sz w:val="24"/>
          <w:szCs w:val="24"/>
        </w:rPr>
      </w:pPr>
    </w:p>
    <w:p w14:paraId="283EF0BD" w14:textId="77777777" w:rsidR="00721556" w:rsidRDefault="00721556">
      <w:pPr>
        <w:spacing w:after="0" w:line="240" w:lineRule="auto"/>
        <w:jc w:val="both"/>
        <w:rPr>
          <w:rFonts w:ascii="Times New Roman" w:eastAsia="Times New Roman" w:hAnsi="Times New Roman" w:cs="Times New Roman"/>
          <w:sz w:val="24"/>
          <w:szCs w:val="24"/>
        </w:rPr>
      </w:pPr>
    </w:p>
    <w:p w14:paraId="11A64BB8" w14:textId="77777777" w:rsidR="00721556" w:rsidRDefault="00721556">
      <w:pPr>
        <w:spacing w:after="0" w:line="240" w:lineRule="auto"/>
        <w:jc w:val="both"/>
        <w:rPr>
          <w:rFonts w:ascii="Times New Roman" w:eastAsia="Times New Roman" w:hAnsi="Times New Roman" w:cs="Times New Roman"/>
          <w:sz w:val="24"/>
          <w:szCs w:val="24"/>
        </w:rPr>
      </w:pPr>
    </w:p>
    <w:p w14:paraId="33B38924" w14:textId="77777777" w:rsidR="00721556" w:rsidRDefault="00000000">
      <w:pPr>
        <w:spacing w:after="0"/>
        <w:ind w:left="411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Ementa: </w:t>
      </w:r>
      <w:r>
        <w:rPr>
          <w:rFonts w:ascii="Times New Roman" w:eastAsia="Times New Roman" w:hAnsi="Times New Roman" w:cs="Times New Roman"/>
          <w:sz w:val="24"/>
          <w:szCs w:val="24"/>
        </w:rPr>
        <w:t>“ESTABELECE O PLANO PLURIANUAL DO MUNICÍPIO PARA O PERÍODO 2026 A 2029 E DEFINE AS METAS E PRIORIDADES DA ADMINISTRAÇÃO PÚBLICA MUNICIPAL PARA O EXERCÍCIO DE 2026.”</w:t>
      </w:r>
    </w:p>
    <w:p w14:paraId="09A105DE" w14:textId="77777777" w:rsidR="00721556" w:rsidRDefault="00721556">
      <w:pPr>
        <w:spacing w:after="0" w:line="240" w:lineRule="auto"/>
        <w:jc w:val="both"/>
        <w:rPr>
          <w:rFonts w:ascii="Times New Roman" w:eastAsia="Times New Roman" w:hAnsi="Times New Roman" w:cs="Times New Roman"/>
          <w:sz w:val="24"/>
          <w:szCs w:val="24"/>
        </w:rPr>
      </w:pPr>
    </w:p>
    <w:p w14:paraId="016ADCAF" w14:textId="77777777" w:rsidR="00721556" w:rsidRDefault="00721556">
      <w:pPr>
        <w:spacing w:after="0" w:line="240" w:lineRule="auto"/>
        <w:jc w:val="both"/>
        <w:rPr>
          <w:rFonts w:ascii="Times New Roman" w:eastAsia="Times New Roman" w:hAnsi="Times New Roman" w:cs="Times New Roman"/>
          <w:sz w:val="24"/>
          <w:szCs w:val="24"/>
        </w:rPr>
      </w:pPr>
    </w:p>
    <w:p w14:paraId="7BA0E08A"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Excelentíssimo Senhor Presidente:</w:t>
      </w:r>
    </w:p>
    <w:p w14:paraId="65D30C76" w14:textId="77777777" w:rsidR="00721556" w:rsidRDefault="00721556">
      <w:pPr>
        <w:spacing w:after="0" w:line="240" w:lineRule="auto"/>
        <w:jc w:val="both"/>
        <w:rPr>
          <w:rFonts w:ascii="Times New Roman" w:eastAsia="Times New Roman" w:hAnsi="Times New Roman" w:cs="Times New Roman"/>
          <w:sz w:val="24"/>
          <w:szCs w:val="24"/>
        </w:rPr>
      </w:pPr>
    </w:p>
    <w:p w14:paraId="6C91F9AF" w14:textId="77777777" w:rsidR="00721556" w:rsidRDefault="00721556">
      <w:pPr>
        <w:spacing w:after="0" w:line="240" w:lineRule="auto"/>
        <w:jc w:val="both"/>
        <w:rPr>
          <w:rFonts w:ascii="Times New Roman" w:eastAsia="Times New Roman" w:hAnsi="Times New Roman" w:cs="Times New Roman"/>
          <w:sz w:val="24"/>
          <w:szCs w:val="24"/>
        </w:rPr>
      </w:pPr>
    </w:p>
    <w:p w14:paraId="3724A137" w14:textId="77777777" w:rsidR="00721556" w:rsidRDefault="00721556">
      <w:pPr>
        <w:spacing w:after="0" w:line="240" w:lineRule="auto"/>
        <w:jc w:val="both"/>
        <w:rPr>
          <w:rFonts w:ascii="Times New Roman" w:eastAsia="Times New Roman" w:hAnsi="Times New Roman" w:cs="Times New Roman"/>
          <w:sz w:val="24"/>
          <w:szCs w:val="24"/>
        </w:rPr>
      </w:pPr>
    </w:p>
    <w:p w14:paraId="13499187"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Comissão de Finanças e Orçamento em cumprimento ao disposto no artigo 66, II, 1, do Regimento Interno desta Casa de Leis, após análise dos aspectos técnicos alusivos ao Projeto acima referenciado, emite PARECER FAVORÁVEL, conforme razões a seguir:</w:t>
      </w:r>
    </w:p>
    <w:p w14:paraId="086093A8" w14:textId="77777777" w:rsidR="00721556" w:rsidRDefault="00721556">
      <w:pPr>
        <w:spacing w:after="0" w:line="240" w:lineRule="auto"/>
        <w:jc w:val="both"/>
        <w:rPr>
          <w:rFonts w:ascii="Times New Roman" w:eastAsia="Times New Roman" w:hAnsi="Times New Roman" w:cs="Times New Roman"/>
          <w:sz w:val="24"/>
          <w:szCs w:val="24"/>
        </w:rPr>
      </w:pPr>
    </w:p>
    <w:p w14:paraId="7C0D3C90" w14:textId="77777777" w:rsidR="00721556" w:rsidRDefault="00721556">
      <w:pPr>
        <w:spacing w:after="0" w:line="240" w:lineRule="auto"/>
        <w:jc w:val="both"/>
        <w:rPr>
          <w:rFonts w:ascii="Times New Roman" w:eastAsia="Times New Roman" w:hAnsi="Times New Roman" w:cs="Times New Roman"/>
          <w:sz w:val="24"/>
          <w:szCs w:val="24"/>
        </w:rPr>
      </w:pPr>
    </w:p>
    <w:p w14:paraId="22D96AC8" w14:textId="77777777" w:rsidR="00721556"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 RELATÓRIO</w:t>
      </w:r>
    </w:p>
    <w:p w14:paraId="09E247E9" w14:textId="77777777" w:rsidR="00721556" w:rsidRDefault="00721556">
      <w:pPr>
        <w:spacing w:after="0" w:line="240" w:lineRule="auto"/>
        <w:jc w:val="both"/>
        <w:rPr>
          <w:rFonts w:ascii="Times New Roman" w:eastAsia="Times New Roman" w:hAnsi="Times New Roman" w:cs="Times New Roman"/>
          <w:sz w:val="24"/>
          <w:szCs w:val="24"/>
        </w:rPr>
      </w:pPr>
    </w:p>
    <w:p w14:paraId="48ED7389" w14:textId="77777777" w:rsidR="00721556" w:rsidRDefault="00721556">
      <w:pPr>
        <w:spacing w:after="0" w:line="240" w:lineRule="auto"/>
        <w:jc w:val="both"/>
        <w:rPr>
          <w:rFonts w:ascii="Times New Roman" w:eastAsia="Times New Roman" w:hAnsi="Times New Roman" w:cs="Times New Roman"/>
          <w:sz w:val="24"/>
          <w:szCs w:val="24"/>
        </w:rPr>
      </w:pPr>
    </w:p>
    <w:p w14:paraId="587629F5"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Trata-se o presente Projeto de Lei do Plano Plurianual do Município para o período de 2026 a 2029, encaminhado a esta Comissão para análise e parecer.</w:t>
      </w:r>
    </w:p>
    <w:p w14:paraId="48347804"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 PPA é o instrumento estabelecido na Constituição Federal para estabelecer, de forma regionalizada, as diretrizes, objetivos e metas da administração pública para as despesas de capital e outras delas decorrentes e para as relativas aos programas de duração continuada.</w:t>
      </w:r>
    </w:p>
    <w:p w14:paraId="1FED0D64"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Observou-se a viabilidade técnica da matéria. Da análise, constam que as ações prioritárias e as respectivas metas da Administração Pública Municipal para o período de 2026 a 2029, estão em conformidade com a Constituição Federal, portanto, entende a Comissão de Finanças e Orçamento que a matéria merece o apoio desta edilidade.</w:t>
      </w:r>
    </w:p>
    <w:p w14:paraId="64278A4C"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Observa-se o seguinte: o Projeto de Lei nº 427/2025, que dispõe sobre o PPA, elaborado na forma do disposto na Constituição Federal de 1988, Constituição do Estado de São Paulo e da Lei Orgânica de Itapevi, estabelece as metas e prioridades da Administração Pública Municipal, para o período de 2026 a 2029, nele tendo sido definidos os objetivos do Governo Municipal, </w:t>
      </w:r>
      <w:r>
        <w:rPr>
          <w:rFonts w:ascii="Times New Roman" w:eastAsia="Times New Roman" w:hAnsi="Times New Roman" w:cs="Times New Roman"/>
          <w:sz w:val="24"/>
          <w:szCs w:val="24"/>
        </w:rPr>
        <w:lastRenderedPageBreak/>
        <w:t xml:space="preserve">utilizando os recursos municipais para o desenvolvimento econômico, social e cultural da sociedade </w:t>
      </w:r>
      <w:proofErr w:type="spellStart"/>
      <w:r>
        <w:rPr>
          <w:rFonts w:ascii="Times New Roman" w:eastAsia="Times New Roman" w:hAnsi="Times New Roman" w:cs="Times New Roman"/>
          <w:sz w:val="24"/>
          <w:szCs w:val="24"/>
        </w:rPr>
        <w:t>itapeviense</w:t>
      </w:r>
      <w:proofErr w:type="spellEnd"/>
      <w:r>
        <w:rPr>
          <w:rFonts w:ascii="Times New Roman" w:eastAsia="Times New Roman" w:hAnsi="Times New Roman" w:cs="Times New Roman"/>
          <w:sz w:val="24"/>
          <w:szCs w:val="24"/>
        </w:rPr>
        <w:t>, além de estabelecer as orientações para a elaboração, acompanhamento e controle da Lei de Diretrizes Orçamentárias e da Lei Orçamentária Municipal.</w:t>
      </w:r>
    </w:p>
    <w:p w14:paraId="5BF15EB3"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 projeto de Lei em apreço foi encaminhado pelo Prefeito Municipal à Câmara de Vereadores no dia 14 de agosto de 2025. Na constituição do presente Projeto de Lei, consta que foram adotados critérios que expõem as necessidades do Município, dentro do equilíbrio financeiro para o período de 2026 a 2029.</w:t>
      </w:r>
    </w:p>
    <w:p w14:paraId="55CAD1BE"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As diretrizes, objetivos e metas, projetadas em análise foram enviadas e tramitam junto à Comissão de Finanças e Orçamento, devendo ser apreciado pela Câmara de Vereadores conforme o que dispõe o artigo 270 do Regimento Interno.</w:t>
      </w:r>
    </w:p>
    <w:p w14:paraId="60DD4242"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Realizaram-se Audiências Públicas em que compareceram pessoas envolvidas na elaboração das peças técnicas. </w:t>
      </w:r>
    </w:p>
    <w:p w14:paraId="2343CED2"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 Plano Plurianual, nos termos da Constituição, deve definir as diretrizes, objetivos e metas da administração pública para as despesas de capital, para as despesas delas decorrentes e para as despesas relativas aos programas de duração continuada. E, os parlamentares, comissões e bancadas, com o propósito de aperfeiçoá-lo como instrumento de planejamento e definição das políticas públicas municipais.</w:t>
      </w:r>
    </w:p>
    <w:p w14:paraId="7B6216E4" w14:textId="77777777" w:rsidR="00721556" w:rsidRDefault="00721556">
      <w:pPr>
        <w:spacing w:after="0" w:line="240" w:lineRule="auto"/>
        <w:jc w:val="both"/>
        <w:rPr>
          <w:rFonts w:ascii="Times New Roman" w:eastAsia="Times New Roman" w:hAnsi="Times New Roman" w:cs="Times New Roman"/>
          <w:sz w:val="24"/>
          <w:szCs w:val="24"/>
        </w:rPr>
      </w:pPr>
    </w:p>
    <w:p w14:paraId="7D152967" w14:textId="77777777" w:rsidR="00721556" w:rsidRDefault="00721556">
      <w:pPr>
        <w:spacing w:after="0" w:line="240" w:lineRule="auto"/>
        <w:jc w:val="both"/>
        <w:rPr>
          <w:rFonts w:ascii="Times New Roman" w:eastAsia="Times New Roman" w:hAnsi="Times New Roman" w:cs="Times New Roman"/>
          <w:sz w:val="24"/>
          <w:szCs w:val="24"/>
        </w:rPr>
      </w:pPr>
    </w:p>
    <w:p w14:paraId="2FE248EF" w14:textId="77777777" w:rsidR="00721556"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 – VOTO</w:t>
      </w:r>
    </w:p>
    <w:p w14:paraId="1714BDB0" w14:textId="77777777" w:rsidR="00721556" w:rsidRDefault="00721556">
      <w:pPr>
        <w:spacing w:after="0" w:line="240" w:lineRule="auto"/>
        <w:jc w:val="both"/>
        <w:rPr>
          <w:rFonts w:ascii="Times New Roman" w:eastAsia="Times New Roman" w:hAnsi="Times New Roman" w:cs="Times New Roman"/>
          <w:sz w:val="24"/>
          <w:szCs w:val="24"/>
        </w:rPr>
      </w:pPr>
    </w:p>
    <w:p w14:paraId="11BDB9A5" w14:textId="77777777" w:rsidR="00721556" w:rsidRDefault="00721556">
      <w:pPr>
        <w:spacing w:after="0" w:line="240" w:lineRule="auto"/>
        <w:jc w:val="both"/>
        <w:rPr>
          <w:rFonts w:ascii="Times New Roman" w:eastAsia="Times New Roman" w:hAnsi="Times New Roman" w:cs="Times New Roman"/>
          <w:sz w:val="24"/>
          <w:szCs w:val="24"/>
        </w:rPr>
      </w:pPr>
    </w:p>
    <w:p w14:paraId="3687A4F7"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 art. 165 da Constituição da República Federativa do Brasil/1988, dispõe sobre a questão orçamentária pública:</w:t>
      </w:r>
    </w:p>
    <w:p w14:paraId="0CD07026" w14:textId="77777777" w:rsidR="00721556" w:rsidRDefault="00721556">
      <w:pPr>
        <w:spacing w:after="0" w:line="240" w:lineRule="auto"/>
        <w:jc w:val="both"/>
        <w:rPr>
          <w:rFonts w:ascii="Times New Roman" w:eastAsia="Times New Roman" w:hAnsi="Times New Roman" w:cs="Times New Roman"/>
          <w:sz w:val="24"/>
          <w:szCs w:val="24"/>
        </w:rPr>
      </w:pPr>
    </w:p>
    <w:p w14:paraId="336B222B" w14:textId="77777777" w:rsidR="00721556" w:rsidRDefault="00000000">
      <w:pPr>
        <w:spacing w:after="0" w:line="240" w:lineRule="auto"/>
        <w:ind w:left="42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165. Leis de iniciativa do Poder Executivo estabelecerão:</w:t>
      </w:r>
    </w:p>
    <w:p w14:paraId="300AA696" w14:textId="77777777" w:rsidR="00721556" w:rsidRDefault="00000000">
      <w:pPr>
        <w:spacing w:after="0" w:line="240" w:lineRule="auto"/>
        <w:ind w:left="4251"/>
        <w:jc w:val="both"/>
        <w:rPr>
          <w:rFonts w:ascii="Times New Roman" w:eastAsia="Times New Roman" w:hAnsi="Times New Roman" w:cs="Times New Roman"/>
          <w:sz w:val="24"/>
          <w:szCs w:val="24"/>
        </w:rPr>
      </w:pPr>
      <w:bookmarkStart w:id="0" w:name="bookmark=id.2otdv651p66n" w:colFirst="0" w:colLast="0"/>
      <w:bookmarkEnd w:id="0"/>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o</w:t>
      </w:r>
      <w:proofErr w:type="gramEnd"/>
      <w:r>
        <w:rPr>
          <w:rFonts w:ascii="Times New Roman" w:eastAsia="Times New Roman" w:hAnsi="Times New Roman" w:cs="Times New Roman"/>
          <w:sz w:val="24"/>
          <w:szCs w:val="24"/>
        </w:rPr>
        <w:t xml:space="preserve"> plano plurianual;</w:t>
      </w:r>
    </w:p>
    <w:p w14:paraId="23A58F9A" w14:textId="77777777" w:rsidR="00721556" w:rsidRDefault="00000000">
      <w:pPr>
        <w:spacing w:after="0" w:line="240" w:lineRule="auto"/>
        <w:ind w:left="4251"/>
        <w:jc w:val="both"/>
        <w:rPr>
          <w:rFonts w:ascii="Times New Roman" w:eastAsia="Times New Roman" w:hAnsi="Times New Roman" w:cs="Times New Roman"/>
          <w:sz w:val="24"/>
          <w:szCs w:val="24"/>
        </w:rPr>
      </w:pPr>
      <w:bookmarkStart w:id="1" w:name="bookmark=id.q10z2phr66op" w:colFirst="0" w:colLast="0"/>
      <w:bookmarkEnd w:id="1"/>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diretrizes orçamentárias;</w:t>
      </w:r>
    </w:p>
    <w:p w14:paraId="2182C8E2" w14:textId="77777777" w:rsidR="00721556" w:rsidRDefault="00000000">
      <w:pPr>
        <w:spacing w:after="0" w:line="240" w:lineRule="auto"/>
        <w:ind w:left="4251"/>
        <w:jc w:val="both"/>
        <w:rPr>
          <w:rFonts w:ascii="Times New Roman" w:eastAsia="Times New Roman" w:hAnsi="Times New Roman" w:cs="Times New Roman"/>
          <w:sz w:val="24"/>
          <w:szCs w:val="24"/>
        </w:rPr>
      </w:pPr>
      <w:bookmarkStart w:id="2" w:name="bookmark=id.kwn9g4ifbnu" w:colFirst="0" w:colLast="0"/>
      <w:bookmarkEnd w:id="2"/>
      <w:r>
        <w:rPr>
          <w:rFonts w:ascii="Times New Roman" w:eastAsia="Times New Roman" w:hAnsi="Times New Roman" w:cs="Times New Roman"/>
          <w:sz w:val="24"/>
          <w:szCs w:val="24"/>
        </w:rPr>
        <w:t>III - os orçamentos anuais.</w:t>
      </w:r>
    </w:p>
    <w:p w14:paraId="316159F3" w14:textId="77777777" w:rsidR="00721556" w:rsidRDefault="00000000">
      <w:pPr>
        <w:spacing w:after="0" w:line="240" w:lineRule="auto"/>
        <w:ind w:left="4251"/>
        <w:jc w:val="both"/>
        <w:rPr>
          <w:rFonts w:ascii="Times New Roman" w:eastAsia="Times New Roman" w:hAnsi="Times New Roman" w:cs="Times New Roman"/>
          <w:sz w:val="24"/>
          <w:szCs w:val="24"/>
        </w:rPr>
      </w:pPr>
      <w:bookmarkStart w:id="3" w:name="bookmark=id.dy4r32nf32h" w:colFirst="0" w:colLast="0"/>
      <w:bookmarkStart w:id="4" w:name="bookmark=id.vkr426l0ffqb" w:colFirst="0" w:colLast="0"/>
      <w:bookmarkStart w:id="5" w:name="_heading=h.tog2avfwlgk7" w:colFirst="0" w:colLast="0"/>
      <w:bookmarkEnd w:id="3"/>
      <w:bookmarkEnd w:id="4"/>
      <w:bookmarkEnd w:id="5"/>
      <w:r>
        <w:rPr>
          <w:rFonts w:ascii="Times New Roman" w:eastAsia="Times New Roman" w:hAnsi="Times New Roman" w:cs="Times New Roman"/>
          <w:sz w:val="24"/>
          <w:szCs w:val="24"/>
        </w:rPr>
        <w:t>§ 1º A lei que instituir o plano plurianual estabelecerá, de forma regionalizada, as diretrizes, objetivos e metas da administração pública federal para as despesas de capital e outras delas decorrentes e para as relativas aos programas de duração continuada.</w:t>
      </w:r>
    </w:p>
    <w:p w14:paraId="7EC47C91" w14:textId="77777777" w:rsidR="00721556" w:rsidRDefault="00000000">
      <w:pPr>
        <w:spacing w:after="0" w:line="240" w:lineRule="auto"/>
        <w:ind w:left="4251"/>
        <w:jc w:val="both"/>
        <w:rPr>
          <w:rFonts w:ascii="Times New Roman" w:eastAsia="Times New Roman" w:hAnsi="Times New Roman" w:cs="Times New Roman"/>
          <w:sz w:val="24"/>
          <w:szCs w:val="24"/>
        </w:rPr>
      </w:pPr>
      <w:bookmarkStart w:id="6" w:name="bookmark=id.oa9oau96il9w" w:colFirst="0" w:colLast="0"/>
      <w:bookmarkStart w:id="7" w:name="bookmark=id.na3l317q91dn" w:colFirst="0" w:colLast="0"/>
      <w:bookmarkEnd w:id="6"/>
      <w:bookmarkEnd w:id="7"/>
      <w:r>
        <w:rPr>
          <w:rFonts w:ascii="Times New Roman" w:eastAsia="Times New Roman" w:hAnsi="Times New Roman" w:cs="Times New Roman"/>
          <w:sz w:val="24"/>
          <w:szCs w:val="24"/>
        </w:rPr>
        <w:t xml:space="preserve">§ 2º A lei de diretrizes orçamentárias compreenderá as metas e prioridades da administração pública federal, incluindo as despesas de capital para o exercício financeiro </w:t>
      </w:r>
      <w:proofErr w:type="spellStart"/>
      <w:r>
        <w:rPr>
          <w:rFonts w:ascii="Times New Roman" w:eastAsia="Times New Roman" w:hAnsi="Times New Roman" w:cs="Times New Roman"/>
          <w:sz w:val="24"/>
          <w:szCs w:val="24"/>
        </w:rPr>
        <w:t>subseqüente</w:t>
      </w:r>
      <w:proofErr w:type="spellEnd"/>
      <w:r>
        <w:rPr>
          <w:rFonts w:ascii="Times New Roman" w:eastAsia="Times New Roman" w:hAnsi="Times New Roman" w:cs="Times New Roman"/>
          <w:sz w:val="24"/>
          <w:szCs w:val="24"/>
        </w:rPr>
        <w:t xml:space="preserve">, orientará a elaboração da lei orçamentária anual, disporá sobre as alterações na legislação tributária e estabelecerá a </w:t>
      </w:r>
      <w:r>
        <w:rPr>
          <w:rFonts w:ascii="Times New Roman" w:eastAsia="Times New Roman" w:hAnsi="Times New Roman" w:cs="Times New Roman"/>
          <w:sz w:val="24"/>
          <w:szCs w:val="24"/>
        </w:rPr>
        <w:lastRenderedPageBreak/>
        <w:t>política de aplicação das agências financeiras oficiais de fomento.</w:t>
      </w:r>
    </w:p>
    <w:p w14:paraId="52EBB6D8" w14:textId="77777777" w:rsidR="00721556" w:rsidRDefault="00000000">
      <w:pPr>
        <w:spacing w:after="0" w:line="240" w:lineRule="auto"/>
        <w:ind w:left="4251"/>
        <w:jc w:val="both"/>
        <w:rPr>
          <w:rFonts w:ascii="Times New Roman" w:eastAsia="Times New Roman" w:hAnsi="Times New Roman" w:cs="Times New Roman"/>
          <w:sz w:val="24"/>
          <w:szCs w:val="24"/>
        </w:rPr>
      </w:pPr>
      <w:bookmarkStart w:id="8" w:name="bookmark=id.py70s8hw4ilj" w:colFirst="0" w:colLast="0"/>
      <w:bookmarkStart w:id="9" w:name="bookmark=id.5scrdrgsif7" w:colFirst="0" w:colLast="0"/>
      <w:bookmarkEnd w:id="8"/>
      <w:bookmarkEnd w:id="9"/>
      <w:r>
        <w:rPr>
          <w:rFonts w:ascii="Times New Roman" w:eastAsia="Times New Roman" w:hAnsi="Times New Roman" w:cs="Times New Roman"/>
          <w:sz w:val="24"/>
          <w:szCs w:val="24"/>
        </w:rPr>
        <w:t>§ 3º O Poder Executivo publicará, até trinta dias após o encerramento de cada bimestre, relatório resumido da execução orçamentária.”</w:t>
      </w:r>
    </w:p>
    <w:p w14:paraId="37D25329" w14:textId="77777777" w:rsidR="00721556" w:rsidRDefault="00721556">
      <w:pPr>
        <w:spacing w:after="0" w:line="240" w:lineRule="auto"/>
        <w:jc w:val="both"/>
        <w:rPr>
          <w:rFonts w:ascii="Times New Roman" w:eastAsia="Times New Roman" w:hAnsi="Times New Roman" w:cs="Times New Roman"/>
          <w:sz w:val="24"/>
          <w:szCs w:val="24"/>
        </w:rPr>
      </w:pPr>
    </w:p>
    <w:p w14:paraId="1ACD2BCE"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 projeto versa sobre matéria de competência privativa do Prefeito do Município, em face do que dispõe o artigo 30, Parágrafo único, IV, da Lei Orgânica Municipal:</w:t>
      </w:r>
    </w:p>
    <w:p w14:paraId="4C16447E" w14:textId="77777777" w:rsidR="00721556" w:rsidRDefault="00721556">
      <w:pPr>
        <w:spacing w:after="0" w:line="240" w:lineRule="auto"/>
        <w:jc w:val="both"/>
        <w:rPr>
          <w:rFonts w:ascii="Times New Roman" w:eastAsia="Times New Roman" w:hAnsi="Times New Roman" w:cs="Times New Roman"/>
          <w:sz w:val="24"/>
          <w:szCs w:val="24"/>
        </w:rPr>
      </w:pPr>
    </w:p>
    <w:p w14:paraId="0D4E7AA1" w14:textId="77777777" w:rsidR="00721556" w:rsidRDefault="00000000">
      <w:pPr>
        <w:spacing w:after="0" w:line="240" w:lineRule="auto"/>
        <w:ind w:left="42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30 A iniciativa de lei cabe a qualquer Vereador, às Comissões da Câmara, ao Prefeito e aos cidadãos. Parágrafo único. São de iniciativa privativa do Prefeito Municipal as leis que disponham sobre:</w:t>
      </w:r>
    </w:p>
    <w:p w14:paraId="16C338B3" w14:textId="77777777" w:rsidR="00721556" w:rsidRDefault="00721556">
      <w:pPr>
        <w:spacing w:after="0" w:line="240" w:lineRule="auto"/>
        <w:ind w:left="4251"/>
        <w:jc w:val="both"/>
        <w:rPr>
          <w:rFonts w:ascii="Times New Roman" w:eastAsia="Times New Roman" w:hAnsi="Times New Roman" w:cs="Times New Roman"/>
          <w:sz w:val="24"/>
          <w:szCs w:val="24"/>
        </w:rPr>
      </w:pPr>
    </w:p>
    <w:p w14:paraId="5A62E612" w14:textId="77777777" w:rsidR="00721556" w:rsidRDefault="00000000">
      <w:pPr>
        <w:spacing w:after="0" w:line="240" w:lineRule="auto"/>
        <w:ind w:left="42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criação</w:t>
      </w:r>
      <w:proofErr w:type="gramEnd"/>
      <w:r>
        <w:rPr>
          <w:rFonts w:ascii="Times New Roman" w:eastAsia="Times New Roman" w:hAnsi="Times New Roman" w:cs="Times New Roman"/>
          <w:sz w:val="24"/>
          <w:szCs w:val="24"/>
        </w:rPr>
        <w:t xml:space="preserve"> da Guarda Municipal, e fixação ou modificação de seu efetivo;</w:t>
      </w:r>
    </w:p>
    <w:p w14:paraId="1F211F7A" w14:textId="77777777" w:rsidR="00721556" w:rsidRDefault="00000000">
      <w:pPr>
        <w:spacing w:after="0" w:line="240" w:lineRule="auto"/>
        <w:ind w:left="42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criação</w:t>
      </w:r>
      <w:proofErr w:type="gramEnd"/>
      <w:r>
        <w:rPr>
          <w:rFonts w:ascii="Times New Roman" w:eastAsia="Times New Roman" w:hAnsi="Times New Roman" w:cs="Times New Roman"/>
          <w:sz w:val="24"/>
          <w:szCs w:val="24"/>
        </w:rPr>
        <w:t xml:space="preserve"> de cargos, funções ou empregos públicos do Poder Executivo, ou aumento de sua remuneração, assim como seu regime jurídico;</w:t>
      </w:r>
    </w:p>
    <w:p w14:paraId="54C1441D" w14:textId="77777777" w:rsidR="00721556" w:rsidRDefault="00000000">
      <w:pPr>
        <w:spacing w:after="0" w:line="240" w:lineRule="auto"/>
        <w:ind w:left="42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organização administrativa do Poder Executivo;</w:t>
      </w:r>
    </w:p>
    <w:p w14:paraId="155F009A" w14:textId="77777777" w:rsidR="00721556" w:rsidRDefault="00000000">
      <w:pPr>
        <w:spacing w:after="0" w:line="240" w:lineRule="auto"/>
        <w:ind w:left="42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 </w:t>
      </w:r>
      <w:proofErr w:type="gramStart"/>
      <w:r>
        <w:rPr>
          <w:rFonts w:ascii="Times New Roman" w:eastAsia="Times New Roman" w:hAnsi="Times New Roman" w:cs="Times New Roman"/>
          <w:sz w:val="24"/>
          <w:szCs w:val="24"/>
        </w:rPr>
        <w:t>plano</w:t>
      </w:r>
      <w:proofErr w:type="gramEnd"/>
      <w:r>
        <w:rPr>
          <w:rFonts w:ascii="Times New Roman" w:eastAsia="Times New Roman" w:hAnsi="Times New Roman" w:cs="Times New Roman"/>
          <w:sz w:val="24"/>
          <w:szCs w:val="24"/>
        </w:rPr>
        <w:t xml:space="preserve"> plurianual, plano diretor, lei de diretrizes orçamentárias, lei orçamentária anual, e créditos adicionais.”</w:t>
      </w:r>
    </w:p>
    <w:p w14:paraId="78A6D548" w14:textId="77777777" w:rsidR="00721556" w:rsidRDefault="00721556">
      <w:pPr>
        <w:spacing w:after="0" w:line="240" w:lineRule="auto"/>
        <w:jc w:val="both"/>
        <w:rPr>
          <w:rFonts w:ascii="Times New Roman" w:eastAsia="Times New Roman" w:hAnsi="Times New Roman" w:cs="Times New Roman"/>
          <w:sz w:val="24"/>
          <w:szCs w:val="24"/>
        </w:rPr>
      </w:pPr>
    </w:p>
    <w:p w14:paraId="335113FB"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Ademais, o trâmite se deu em conformidade com o disposto nas normas de regência e a Comissão de Finanças e Orçamentos OPINA pela regularidade formal e material do projeto, pois se encontra juridicamente apto para tramitação nesta Casa de Leis.</w:t>
      </w:r>
    </w:p>
    <w:p w14:paraId="48786285"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Em face do exposto, considera-se o Projeto legal, constitucional e cumpridor da técnica legislativa.</w:t>
      </w:r>
    </w:p>
    <w:p w14:paraId="4D685617" w14:textId="77777777" w:rsidR="00721556" w:rsidRDefault="00721556">
      <w:pPr>
        <w:spacing w:after="0" w:line="240" w:lineRule="auto"/>
        <w:jc w:val="both"/>
        <w:rPr>
          <w:rFonts w:ascii="Times New Roman" w:eastAsia="Times New Roman" w:hAnsi="Times New Roman" w:cs="Times New Roman"/>
          <w:sz w:val="24"/>
          <w:szCs w:val="24"/>
        </w:rPr>
      </w:pPr>
    </w:p>
    <w:p w14:paraId="36BB9F07" w14:textId="77777777" w:rsidR="00721556" w:rsidRDefault="00721556">
      <w:pPr>
        <w:spacing w:after="0" w:line="240" w:lineRule="auto"/>
        <w:jc w:val="both"/>
        <w:rPr>
          <w:rFonts w:ascii="Times New Roman" w:eastAsia="Times New Roman" w:hAnsi="Times New Roman" w:cs="Times New Roman"/>
          <w:sz w:val="24"/>
          <w:szCs w:val="24"/>
        </w:rPr>
      </w:pPr>
    </w:p>
    <w:p w14:paraId="56D08DE2" w14:textId="77777777" w:rsidR="00721556"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 – VOTO</w:t>
      </w:r>
    </w:p>
    <w:p w14:paraId="19DFF5BD" w14:textId="77777777" w:rsidR="00721556" w:rsidRDefault="00721556">
      <w:pPr>
        <w:spacing w:after="0" w:line="240" w:lineRule="auto"/>
        <w:jc w:val="both"/>
        <w:rPr>
          <w:rFonts w:ascii="Times New Roman" w:eastAsia="Times New Roman" w:hAnsi="Times New Roman" w:cs="Times New Roman"/>
          <w:sz w:val="24"/>
          <w:szCs w:val="24"/>
        </w:rPr>
      </w:pPr>
    </w:p>
    <w:p w14:paraId="3FE316F2" w14:textId="77777777" w:rsidR="00721556" w:rsidRDefault="00721556">
      <w:pPr>
        <w:spacing w:after="0" w:line="240" w:lineRule="auto"/>
        <w:jc w:val="both"/>
        <w:rPr>
          <w:rFonts w:ascii="Times New Roman" w:eastAsia="Times New Roman" w:hAnsi="Times New Roman" w:cs="Times New Roman"/>
          <w:sz w:val="24"/>
          <w:szCs w:val="24"/>
        </w:rPr>
      </w:pPr>
    </w:p>
    <w:p w14:paraId="05F4201A"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Posto isto, a COMISSÃO DE FINANÇAS E ORÇAMENTO desta Casa, opina pela CONSTITUCIONALIDADE e LEGALIDADE do Projeto, ora em exame, podendo ser levado à apreciação do Plenário</w:t>
      </w:r>
    </w:p>
    <w:p w14:paraId="0180454A" w14:textId="77777777" w:rsidR="00721556" w:rsidRDefault="00721556">
      <w:pPr>
        <w:spacing w:after="0" w:line="240" w:lineRule="auto"/>
        <w:jc w:val="both"/>
        <w:rPr>
          <w:rFonts w:ascii="Times New Roman" w:eastAsia="Times New Roman" w:hAnsi="Times New Roman" w:cs="Times New Roman"/>
          <w:sz w:val="24"/>
          <w:szCs w:val="24"/>
        </w:rPr>
      </w:pPr>
    </w:p>
    <w:p w14:paraId="30EED212"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É o parecer, sob crítica, que submetemos a apreciação do Douto Plenário.</w:t>
      </w:r>
    </w:p>
    <w:p w14:paraId="54FDBA21" w14:textId="77777777" w:rsidR="00721556" w:rsidRDefault="00721556">
      <w:pPr>
        <w:spacing w:after="0" w:line="240" w:lineRule="auto"/>
        <w:jc w:val="both"/>
        <w:rPr>
          <w:rFonts w:ascii="Times New Roman" w:eastAsia="Times New Roman" w:hAnsi="Times New Roman" w:cs="Times New Roman"/>
          <w:sz w:val="24"/>
          <w:szCs w:val="24"/>
        </w:rPr>
      </w:pPr>
    </w:p>
    <w:p w14:paraId="24DA752B" w14:textId="77777777" w:rsidR="00721556" w:rsidRDefault="00721556">
      <w:pPr>
        <w:spacing w:after="0" w:line="240" w:lineRule="auto"/>
        <w:jc w:val="both"/>
        <w:rPr>
          <w:rFonts w:ascii="Times New Roman" w:eastAsia="Times New Roman" w:hAnsi="Times New Roman" w:cs="Times New Roman"/>
          <w:sz w:val="24"/>
          <w:szCs w:val="24"/>
        </w:rPr>
      </w:pPr>
    </w:p>
    <w:p w14:paraId="6BCDC770"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Sala das Sessões "Bemvindo Moreira Nery", 24 de novembro de 2025.</w:t>
      </w:r>
    </w:p>
    <w:p w14:paraId="50690534" w14:textId="77777777" w:rsidR="00721556" w:rsidRDefault="00721556">
      <w:pPr>
        <w:spacing w:after="0" w:line="240" w:lineRule="auto"/>
        <w:jc w:val="both"/>
        <w:rPr>
          <w:rFonts w:ascii="Times New Roman" w:eastAsia="Times New Roman" w:hAnsi="Times New Roman" w:cs="Times New Roman"/>
          <w:sz w:val="24"/>
          <w:szCs w:val="24"/>
        </w:rPr>
      </w:pPr>
    </w:p>
    <w:p w14:paraId="67F97CEC" w14:textId="77777777" w:rsidR="00721556" w:rsidRDefault="00721556">
      <w:pPr>
        <w:spacing w:after="0" w:line="240" w:lineRule="auto"/>
        <w:jc w:val="both"/>
        <w:rPr>
          <w:rFonts w:ascii="Times New Roman" w:eastAsia="Times New Roman" w:hAnsi="Times New Roman" w:cs="Times New Roman"/>
          <w:sz w:val="24"/>
          <w:szCs w:val="24"/>
        </w:rPr>
      </w:pPr>
    </w:p>
    <w:p w14:paraId="693A4C30" w14:textId="77777777" w:rsidR="00721556"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Comissão de Finanças e Orçamento</w:t>
      </w:r>
    </w:p>
    <w:p w14:paraId="7C89C133"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p>
    <w:p w14:paraId="4BC5B3B8" w14:textId="77777777" w:rsidR="00721556" w:rsidRDefault="00721556">
      <w:pPr>
        <w:spacing w:after="0" w:line="240" w:lineRule="auto"/>
        <w:jc w:val="both"/>
        <w:rPr>
          <w:rFonts w:ascii="Times New Roman" w:eastAsia="Times New Roman" w:hAnsi="Times New Roman" w:cs="Times New Roman"/>
          <w:sz w:val="24"/>
          <w:szCs w:val="24"/>
        </w:rPr>
      </w:pPr>
    </w:p>
    <w:p w14:paraId="7A8C6CC9"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Yacer</w:t>
      </w:r>
      <w:proofErr w:type="spellEnd"/>
      <w:r>
        <w:rPr>
          <w:rFonts w:ascii="Times New Roman" w:eastAsia="Times New Roman" w:hAnsi="Times New Roman" w:cs="Times New Roman"/>
          <w:sz w:val="24"/>
          <w:szCs w:val="24"/>
        </w:rPr>
        <w:t xml:space="preserve"> Issa </w:t>
      </w:r>
      <w:proofErr w:type="spellStart"/>
      <w:r>
        <w:rPr>
          <w:rFonts w:ascii="Times New Roman" w:eastAsia="Times New Roman" w:hAnsi="Times New Roman" w:cs="Times New Roman"/>
          <w:sz w:val="24"/>
          <w:szCs w:val="24"/>
        </w:rPr>
        <w:t>Kourani</w:t>
      </w:r>
      <w:proofErr w:type="spellEnd"/>
      <w:r>
        <w:rPr>
          <w:rFonts w:ascii="Times New Roman" w:eastAsia="Times New Roman" w:hAnsi="Times New Roman" w:cs="Times New Roman"/>
          <w:sz w:val="24"/>
          <w:szCs w:val="24"/>
        </w:rPr>
        <w:t xml:space="preserve">                             Ivonildo Andrade da Hora</w:t>
      </w:r>
    </w:p>
    <w:p w14:paraId="78365E24"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Presidente                                     Vice-Presidente / Relator</w:t>
      </w:r>
    </w:p>
    <w:p w14:paraId="58C6867C"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5322232E" w14:textId="77777777" w:rsidR="0072155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Akdenis</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Kourani</w:t>
      </w:r>
      <w:proofErr w:type="spellEnd"/>
      <w:r>
        <w:rPr>
          <w:rFonts w:ascii="Times New Roman" w:eastAsia="Times New Roman" w:hAnsi="Times New Roman" w:cs="Times New Roman"/>
          <w:sz w:val="24"/>
          <w:szCs w:val="24"/>
        </w:rPr>
        <w:t>      Pedro Augusto F. de Oliveira     Thiago Henrique C. Moitinho</w:t>
      </w:r>
    </w:p>
    <w:p w14:paraId="5FAC7746" w14:textId="77777777" w:rsidR="00721556"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Membro                              Membro                                       Membro</w:t>
      </w:r>
    </w:p>
    <w:sectPr w:rsidR="00721556">
      <w:headerReference w:type="even" r:id="rId7"/>
      <w:headerReference w:type="default" r:id="rId8"/>
      <w:footerReference w:type="default" r:id="rId9"/>
      <w:headerReference w:type="first" r:id="rId10"/>
      <w:pgSz w:w="11906" w:h="16838"/>
      <w:pgMar w:top="2977" w:right="851" w:bottom="2269" w:left="1701" w:header="2835"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D0AB6" w14:textId="77777777" w:rsidR="007B5A99" w:rsidRDefault="007B5A99">
      <w:pPr>
        <w:spacing w:after="0" w:line="240" w:lineRule="auto"/>
      </w:pPr>
      <w:r>
        <w:separator/>
      </w:r>
    </w:p>
  </w:endnote>
  <w:endnote w:type="continuationSeparator" w:id="0">
    <w:p w14:paraId="1E23D13F" w14:textId="77777777" w:rsidR="007B5A99" w:rsidRDefault="007B5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4D1B084-CC67-4933-9B50-62E9413812A6}"/>
    <w:embedBold r:id="rId2" w:fontKey="{C7530BDB-BF94-443A-81CC-94C3A8DA61B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3" w:fontKey="{11995BE6-0353-442F-9ADC-8762C4702C7B}"/>
  </w:font>
  <w:font w:name="Georgia">
    <w:panose1 w:val="02040502050405020303"/>
    <w:charset w:val="00"/>
    <w:family w:val="auto"/>
    <w:pitch w:val="default"/>
    <w:embedItalic r:id="rId4" w:fontKey="{E7D3703A-EC8B-4A3C-B049-F4E68E194364}"/>
  </w:font>
  <w:font w:name="Calibri Light">
    <w:panose1 w:val="020F0302020204030204"/>
    <w:charset w:val="00"/>
    <w:family w:val="swiss"/>
    <w:pitch w:val="variable"/>
    <w:sig w:usb0="E4002EFF" w:usb1="C200247B" w:usb2="00000009" w:usb3="00000000" w:csb0="000001FF" w:csb1="00000000"/>
    <w:embedRegular r:id="rId5" w:fontKey="{341DE016-0E8B-4612-A3CE-BCCFD5B01A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98E3E" w14:textId="77777777" w:rsidR="00721556" w:rsidRDefault="00000000">
    <w:pPr>
      <w:pBdr>
        <w:top w:val="single" w:sz="4" w:space="1" w:color="000000"/>
      </w:pBdr>
      <w:tabs>
        <w:tab w:val="center" w:pos="4252"/>
        <w:tab w:val="right" w:pos="8504"/>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Parecer ao PL 427/2025                                                                                              Página </w:t>
    </w:r>
    <w:r>
      <w:rPr>
        <w:rFonts w:ascii="Times New Roman" w:eastAsia="Times New Roman" w:hAnsi="Times New Roman" w:cs="Times New Roman"/>
        <w:b/>
        <w:bCs/>
        <w:color w:val="000000"/>
        <w:sz w:val="24"/>
        <w:szCs w:val="24"/>
      </w:rPr>
      <w:fldChar w:fldCharType="begin"/>
    </w:r>
    <w:r>
      <w:rPr>
        <w:rFonts w:ascii="Times New Roman" w:eastAsia="Times New Roman" w:hAnsi="Times New Roman" w:cs="Times New Roman"/>
        <w:b/>
        <w:bCs/>
        <w:color w:val="000000"/>
        <w:sz w:val="24"/>
        <w:szCs w:val="24"/>
      </w:rPr>
      <w:instrText>PAGE</w:instrText>
    </w:r>
    <w:r>
      <w:rPr>
        <w:rFonts w:ascii="Times New Roman" w:eastAsia="Times New Roman" w:hAnsi="Times New Roman" w:cs="Times New Roman"/>
        <w:b/>
        <w:bCs/>
        <w:color w:val="000000"/>
        <w:sz w:val="24"/>
        <w:szCs w:val="24"/>
      </w:rPr>
      <w:fldChar w:fldCharType="separate"/>
    </w:r>
    <w:r w:rsidR="0051160E">
      <w:rPr>
        <w:rFonts w:ascii="Times New Roman" w:eastAsia="Times New Roman" w:hAnsi="Times New Roman" w:cs="Times New Roman"/>
        <w:b/>
        <w:bCs/>
        <w:noProof/>
        <w:color w:val="000000"/>
        <w:sz w:val="24"/>
        <w:szCs w:val="24"/>
      </w:rPr>
      <w:t>1</w:t>
    </w:r>
    <w:r>
      <w:rPr>
        <w:rFonts w:ascii="Times New Roman" w:eastAsia="Times New Roman" w:hAnsi="Times New Roman" w:cs="Times New Roman"/>
        <w:b/>
        <w:bCs/>
        <w:color w:val="000000"/>
        <w:sz w:val="24"/>
        <w:szCs w:val="24"/>
      </w:rPr>
      <w:fldChar w:fldCharType="end"/>
    </w:r>
    <w:r>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b/>
        <w:bCs/>
        <w:color w:val="000000"/>
        <w:sz w:val="24"/>
        <w:szCs w:val="24"/>
      </w:rPr>
      <w:fldChar w:fldCharType="begin"/>
    </w:r>
    <w:r>
      <w:rPr>
        <w:rFonts w:ascii="Times New Roman" w:eastAsia="Times New Roman" w:hAnsi="Times New Roman" w:cs="Times New Roman"/>
        <w:b/>
        <w:bCs/>
        <w:color w:val="000000"/>
        <w:sz w:val="24"/>
        <w:szCs w:val="24"/>
      </w:rPr>
      <w:instrText>NUMPAGES</w:instrText>
    </w:r>
    <w:r>
      <w:rPr>
        <w:rFonts w:ascii="Times New Roman" w:eastAsia="Times New Roman" w:hAnsi="Times New Roman" w:cs="Times New Roman"/>
        <w:b/>
        <w:bCs/>
        <w:color w:val="000000"/>
        <w:sz w:val="24"/>
        <w:szCs w:val="24"/>
      </w:rPr>
      <w:fldChar w:fldCharType="separate"/>
    </w:r>
    <w:r w:rsidR="0051160E">
      <w:rPr>
        <w:rFonts w:ascii="Times New Roman" w:eastAsia="Times New Roman" w:hAnsi="Times New Roman" w:cs="Times New Roman"/>
        <w:b/>
        <w:bCs/>
        <w:noProof/>
        <w:color w:val="000000"/>
        <w:sz w:val="24"/>
        <w:szCs w:val="24"/>
      </w:rPr>
      <w:t>2</w:t>
    </w:r>
    <w:r>
      <w:rPr>
        <w:rFonts w:ascii="Times New Roman" w:eastAsia="Times New Roman" w:hAnsi="Times New Roman" w:cs="Times New Roman"/>
        <w:b/>
        <w:bCs/>
        <w:color w:val="000000"/>
        <w:sz w:val="24"/>
        <w:szCs w:val="24"/>
      </w:rPr>
      <w:fldChar w:fldCharType="end"/>
    </w:r>
  </w:p>
  <w:p w14:paraId="54729D67" w14:textId="77777777" w:rsidR="00721556" w:rsidRDefault="00721556">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22A11" w14:textId="77777777" w:rsidR="007B5A99" w:rsidRDefault="007B5A99">
      <w:pPr>
        <w:spacing w:after="0" w:line="240" w:lineRule="auto"/>
      </w:pPr>
      <w:r>
        <w:separator/>
      </w:r>
    </w:p>
  </w:footnote>
  <w:footnote w:type="continuationSeparator" w:id="0">
    <w:p w14:paraId="1C88B7B6" w14:textId="77777777" w:rsidR="007B5A99" w:rsidRDefault="007B5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957CF" w14:textId="77777777" w:rsidR="00721556"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pict w14:anchorId="049A9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95.45pt;height:841.9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48E9E" w14:textId="77777777" w:rsidR="00721556"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6704" behindDoc="1" locked="0" layoutInCell="1" hidden="0" allowOverlap="1" wp14:anchorId="3A9F43F2" wp14:editId="0AFE75CE">
          <wp:simplePos x="0" y="0"/>
          <wp:positionH relativeFrom="column">
            <wp:posOffset>-1080119</wp:posOffset>
          </wp:positionH>
          <wp:positionV relativeFrom="paragraph">
            <wp:posOffset>-1518268</wp:posOffset>
          </wp:positionV>
          <wp:extent cx="7545070" cy="10193760"/>
          <wp:effectExtent l="0" t="0" r="0" b="0"/>
          <wp:wrapNone/>
          <wp:docPr id="14097541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5070" cy="101937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3AA1E" w14:textId="77777777" w:rsidR="00721556"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pict w14:anchorId="5EFA1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95.45pt;height:841.9pt;z-index:-251658752;mso-position-horizontal:center;mso-position-horizontal-relative:margin;mso-position-vertical:center;mso-position-vertical-relative:margin">
          <v:imagedata r:id="rId1" o:title="image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556"/>
    <w:rsid w:val="0051160E"/>
    <w:rsid w:val="00721556"/>
    <w:rsid w:val="007B5A99"/>
    <w:rsid w:val="00B973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BAE35"/>
  <w15:docId w15:val="{B42BC6D3-A551-4CCC-B944-17F4A616C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 w:type="table" w:customStyle="1" w:styleId="a">
    <w:basedOn w:val="Tabelanormal"/>
    <w:tblPr>
      <w:tblStyleRowBandSize w:val="1"/>
      <w:tblStyleColBandSize w:val="1"/>
      <w:tblCellMar>
        <w:left w:w="115" w:type="dxa"/>
        <w:right w:w="115" w:type="dxa"/>
      </w:tblCellMar>
    </w:tblPr>
  </w:style>
  <w:style w:type="table" w:customStyle="1" w:styleId="a0">
    <w:basedOn w:val="Tabelanormal"/>
    <w:pPr>
      <w:spacing w:after="0" w:line="240" w:lineRule="auto"/>
    </w:pPr>
    <w:tblPr>
      <w:tblStyleRowBandSize w:val="1"/>
      <w:tblStyleColBandSize w:val="1"/>
      <w:tblCellMar>
        <w:left w:w="115" w:type="dxa"/>
        <w:right w:w="115" w:type="dxa"/>
      </w:tblCellMar>
    </w:tblPr>
  </w:style>
  <w:style w:type="character" w:styleId="MenoPendente">
    <w:name w:val="Unresolved Mention"/>
    <w:basedOn w:val="Fontepargpadro"/>
    <w:uiPriority w:val="99"/>
    <w:semiHidden/>
    <w:unhideWhenUsed/>
    <w:rsid w:val="00E0588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5QhbQo4UTllpeYhCQSv2GludSA==">CgMxLjAyD2lkLjJvdGR2NjUxcDY2bjIPaWQucTEwejJwaHI2Nm9wMg5pZC5rd245ZzRpZmJudTIOaWQuZHk0cjMybmYzMmgyD2lkLnZrcjQyNmwwZmZxYjIOaC50b2cyYXZmd2xnazcyD2lkLm9hOW9hdTk2aWw5dzIPaWQubmEzbDMxN3E5MWRuMg9pZC5weTcwczhodzRpbGoyDmlkLjVzY3JkcmdzaWY3OAByITEwYlFZTENpcm9vYUp1UEt5Zy00RVB0QTFoNVJlRGdh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925</Words>
  <Characters>4999</Characters>
  <Application>Microsoft Office Word</Application>
  <DocSecurity>0</DocSecurity>
  <Lines>41</Lines>
  <Paragraphs>11</Paragraphs>
  <ScaleCrop>false</ScaleCrop>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Rafael Augusto Sasaki Neves</cp:lastModifiedBy>
  <cp:revision>2</cp:revision>
  <dcterms:created xsi:type="dcterms:W3CDTF">2025-11-24T13:16:00Z</dcterms:created>
  <dcterms:modified xsi:type="dcterms:W3CDTF">2025-11-24T13:37:00Z</dcterms:modified>
</cp:coreProperties>
</file>