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261/2025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307/2025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“Institui, no Município de Itapevi, Fila Zero com o objetivo de Reduzir e agilizar atendimentos em serviços públicos municipais por meio da digitalização e simplificação de processos administrativos.”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no Município de Itapevi, Fila Zero com o objetivo de Reduzir e agilizar atendimentos em serviços públicos municipais por meio da digitalização e simplificação de processos administrativos.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Vice-Presidente / Relator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261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-1080037</wp:posOffset>
          </wp:positionH>
          <wp:positionV relativeFrom="paragraph">
            <wp:posOffset>-1518178</wp:posOffset>
          </wp:positionV>
          <wp:extent cx="7545070" cy="10193760"/>
          <wp:effectExtent b="0" l="0" r="0" t="0"/>
          <wp:wrapNone/>
          <wp:docPr id="140975425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oHTyvQmQabYS3QKrykT3eohxw==">CgMxLjAyCWguMWZvYjl0ZTIJaC4yZXQ5MnAwMgloLjMwajB6bGw4AHIhMUNEc0Zfd0tNdG0tZ1l3ZXRZbFBneXRGNG5ieU0xVS1f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