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EDUCAÇÃO, CULTURA, ESPORTE E JUVENTUDE AO PROJETO DE LEI 102/2025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258/2025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“Estabelece a política de incentivo à prática do hip-hop e da arte urbana no Município de Itapevi, e dá outras providências.”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estabelecer a política de incentivo à prática do hip-hop e da arte urbana no Município de Itapevi, e dá outras providências.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29 de setembro de 2025.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Vice-Presidente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Membro                                   Relator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Vice-Presidente / Relator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Membro                                    Membro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Educação, Cultura, Esporte e Juventude</w:t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Yacer Issa Kourani                        Erondina Ferreira Godoy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Presidente                                     Vice-Presidente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Maurício Alonso Murakami      Priscilla Souza M. Cavanha     Pedro Augusto F. de Oliveira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Membro                                    Membro                                     Relator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102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-1080087</wp:posOffset>
          </wp:positionH>
          <wp:positionV relativeFrom="paragraph">
            <wp:posOffset>-1518234</wp:posOffset>
          </wp:positionV>
          <wp:extent cx="7545070" cy="10193760"/>
          <wp:effectExtent b="0" l="0" r="0" t="0"/>
          <wp:wrapNone/>
          <wp:docPr id="140975420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8Ppzczm6pK+SYa46R9cSRAml5Q==">CgMxLjAyCWguMWZvYjl0ZTIJaC4yZXQ5MnAwMgloLjMwajB6bGw4AHIhMUpTQ2Y1b0huSTQycjdCeHNZR2pWVXdPdHV0YV9fdWRG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