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072/2025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239/2025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“Estabelece a política de incentivo à prática do basquetebol no Município de Itapevi,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estabelecer a política de incentivo à prática do basquetebol no Município de Itapevi,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Relator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Relator 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Relatora   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072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-1080105</wp:posOffset>
          </wp:positionH>
          <wp:positionV relativeFrom="paragraph">
            <wp:posOffset>-1518254</wp:posOffset>
          </wp:positionV>
          <wp:extent cx="7545070" cy="10193760"/>
          <wp:effectExtent b="0" l="0" r="0" t="0"/>
          <wp:wrapNone/>
          <wp:docPr id="140975419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hVRmKYUN8LqKcCTwPQvzTvUZtA==">CgMxLjAyCWguMWZvYjl0ZTIJaC4yZXQ5MnAwMgloLjMwajB6bGw4AHIhMXZlc1BoZVlIbTM2RUU1X215OFlGeGh2VHJzVEl6LVZr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