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0E5D42AE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907A3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80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D9113D9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07A3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166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85355FF" w14:textId="6D165617" w:rsidR="00D725FD" w:rsidRPr="007C27FC" w:rsidRDefault="00593EEC" w:rsidP="00593EEC">
      <w:pPr>
        <w:autoSpaceDE w:val="0"/>
        <w:autoSpaceDN w:val="0"/>
        <w:adjustRightInd w:val="0"/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907A3E" w:rsidRPr="00907A3E">
        <w:rPr>
          <w:rFonts w:ascii="Times New Roman" w:hAnsi="Times New Roman" w:cs="Times New Roman"/>
          <w:sz w:val="24"/>
          <w:szCs w:val="24"/>
        </w:rPr>
        <w:t>Fica instituíd</w:t>
      </w:r>
      <w:r w:rsidR="00907A3E">
        <w:rPr>
          <w:rFonts w:ascii="Times New Roman" w:hAnsi="Times New Roman" w:cs="Times New Roman"/>
          <w:sz w:val="24"/>
          <w:szCs w:val="24"/>
        </w:rPr>
        <w:t>a</w:t>
      </w:r>
      <w:r w:rsidR="00907A3E" w:rsidRPr="00907A3E">
        <w:rPr>
          <w:rFonts w:ascii="Times New Roman" w:hAnsi="Times New Roman" w:cs="Times New Roman"/>
          <w:sz w:val="24"/>
          <w:szCs w:val="24"/>
        </w:rPr>
        <w:t xml:space="preserve"> proibição de verbas públicas em eventos e serviços que promovam a sexualização de crianças no âmbito do </w:t>
      </w:r>
      <w:r w:rsidR="00907A3E">
        <w:rPr>
          <w:rFonts w:ascii="Times New Roman" w:hAnsi="Times New Roman" w:cs="Times New Roman"/>
          <w:sz w:val="24"/>
          <w:szCs w:val="24"/>
        </w:rPr>
        <w:t>M</w:t>
      </w:r>
      <w:r w:rsidR="00907A3E" w:rsidRPr="00907A3E">
        <w:rPr>
          <w:rFonts w:ascii="Times New Roman" w:hAnsi="Times New Roman" w:cs="Times New Roman"/>
          <w:sz w:val="24"/>
          <w:szCs w:val="24"/>
        </w:rPr>
        <w:t>unicípio de Itapevi.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7C27FC" w:rsidRPr="007C27FC">
        <w:rPr>
          <w:rFonts w:ascii="Times New Roman" w:hAnsi="Times New Roman" w:cs="Times New Roman"/>
          <w:sz w:val="24"/>
          <w:szCs w:val="24"/>
        </w:rPr>
        <w:t>.</w:t>
      </w:r>
    </w:p>
    <w:p w14:paraId="2F4B8CE8" w14:textId="77777777" w:rsidR="00907A3E" w:rsidRDefault="00907A3E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14BC9" w14:textId="0CF1B222" w:rsidR="00D725FD" w:rsidRPr="00143E30" w:rsidRDefault="00D725FD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907A3E">
        <w:rPr>
          <w:rFonts w:ascii="Times New Roman" w:hAnsi="Times New Roman" w:cs="Times New Roman"/>
          <w:b/>
          <w:sz w:val="24"/>
          <w:szCs w:val="24"/>
        </w:rPr>
        <w:t>AFONSO DA SILVA</w:t>
      </w:r>
      <w:r w:rsidR="008554E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07A3E">
        <w:rPr>
          <w:rFonts w:ascii="Times New Roman" w:hAnsi="Times New Roman" w:cs="Times New Roman"/>
          <w:b/>
          <w:sz w:val="24"/>
          <w:szCs w:val="24"/>
        </w:rPr>
        <w:t>REPUBLICANO</w:t>
      </w:r>
      <w:r w:rsidR="008554E8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AF992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Fica expressamente proibida a utilização de recursos oriundos do orçamento público para a realização, promoção ou apoio financeiro de eventos e serviços que promovam a sexualização de crianças e adolescentes no âmbito do Município de Itapevi.</w:t>
      </w:r>
    </w:p>
    <w:p w14:paraId="1C71C808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53957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Para os efeitos desta Lei, entende-se por: </w:t>
      </w:r>
    </w:p>
    <w:p w14:paraId="412DD9F9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>I – Criança: toda pessoa com idade inferior a 12 (doze) anos;</w:t>
      </w:r>
    </w:p>
    <w:p w14:paraId="4594E493" w14:textId="03D2986A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 xml:space="preserve">II – Adolescente: toda pessoa com idade igual ou superior a 12 (doze) anos e inferior a 18 (dezoito) anos; </w:t>
      </w:r>
    </w:p>
    <w:p w14:paraId="4C96F1E3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>III – Sexualização: a exposição ou incentivo à adoção de comportamentos, vestuário ou atitudes que promovam a exploração, mercantilização ou a banalização de crianças e adolescentes;</w:t>
      </w:r>
    </w:p>
    <w:p w14:paraId="5E4FB153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>IV – Eventos e serviços: quaisquer atividades, programas, campanhas ou iniciativas, de natureza pública ou privada, que por sua concepção, organização ou execução possam incentivar ou reproduzir elementos de sexualização de crianças e adolescentes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4FAB82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4D0F2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O descumprimento do disposto nesta Lei sujeitará os responsáveis às seguintes penalidades: </w:t>
      </w:r>
    </w:p>
    <w:p w14:paraId="31AEF615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 xml:space="preserve">I – Advertência formal; </w:t>
      </w:r>
    </w:p>
    <w:p w14:paraId="46A07879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sz w:val="24"/>
          <w:szCs w:val="24"/>
        </w:rPr>
        <w:t>II – Suspensão ou cancelamento do repasse dos recursos públicos destinados aos eventos ou serviços envolvidos;</w:t>
      </w:r>
    </w:p>
    <w:p w14:paraId="60B215F7" w14:textId="77777777" w:rsidR="00907A3E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63008" w14:textId="0B6541F8" w:rsidR="00593EEC" w:rsidRPr="00593EEC" w:rsidRDefault="00907A3E" w:rsidP="00907A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A3E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4º</w:t>
      </w:r>
      <w:r w:rsidRPr="00907A3E">
        <w:rPr>
          <w:rFonts w:ascii="Times New Roman" w:hAnsi="Times New Roman" w:cs="Times New Roman"/>
          <w:sz w:val="24"/>
          <w:szCs w:val="24"/>
        </w:rPr>
        <w:t xml:space="preserve"> Esta Lei entra em vigor na data de sua publicaçã</w:t>
      </w:r>
      <w:r>
        <w:rPr>
          <w:rFonts w:ascii="Times New Roman" w:hAnsi="Times New Roman" w:cs="Times New Roman"/>
          <w:sz w:val="24"/>
          <w:szCs w:val="24"/>
        </w:rPr>
        <w:t>o.</w:t>
      </w: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75627DA2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>02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907A3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907A3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907A3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907A3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07A3E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Rita de Cassia Fabrício</cp:lastModifiedBy>
  <cp:revision>2</cp:revision>
  <cp:lastPrinted>2023-04-25T17:59:00Z</cp:lastPrinted>
  <dcterms:created xsi:type="dcterms:W3CDTF">2025-09-02T12:25:00Z</dcterms:created>
  <dcterms:modified xsi:type="dcterms:W3CDTF">2025-09-02T12:25:00Z</dcterms:modified>
</cp:coreProperties>
</file>