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60AA48CA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11</w:t>
      </w:r>
      <w:r w:rsidR="00954E78">
        <w:rPr>
          <w:b/>
        </w:rPr>
        <w:t>3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7CAD5380" w:rsidR="00647426" w:rsidRDefault="00BB78DD" w:rsidP="00954E78">
      <w:pPr>
        <w:ind w:left="567" w:firstLine="1418"/>
        <w:jc w:val="both"/>
      </w:pPr>
      <w:r w:rsidRPr="00B206A3">
        <w:t>Trata-se de Projeto de Lei</w:t>
      </w:r>
      <w:r w:rsidR="00756E00">
        <w:t xml:space="preserve"> n. 0</w:t>
      </w:r>
      <w:r w:rsidR="00B6481F">
        <w:t>9</w:t>
      </w:r>
      <w:r w:rsidR="00954E78">
        <w:t>9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B6481F">
        <w:t>a</w:t>
      </w:r>
      <w:r w:rsidR="00B206A3" w:rsidRPr="00B206A3">
        <w:t xml:space="preserve"> </w:t>
      </w:r>
      <w:r w:rsidR="00A95ED2" w:rsidRPr="00B206A3">
        <w:t>Vereador</w:t>
      </w:r>
      <w:r w:rsidR="00B6481F">
        <w:t>a</w:t>
      </w:r>
      <w:r w:rsidR="00391776">
        <w:t xml:space="preserve"> </w:t>
      </w:r>
      <w:r w:rsidR="00B6481F">
        <w:rPr>
          <w:b/>
        </w:rPr>
        <w:t>Marina de Castro Dornellas</w:t>
      </w:r>
      <w:r w:rsidR="00954E78">
        <w:rPr>
          <w:b/>
        </w:rPr>
        <w:t xml:space="preserve"> que</w:t>
      </w:r>
      <w:r w:rsidR="00977609">
        <w:t xml:space="preserve"> </w:t>
      </w:r>
      <w:r w:rsidR="00954E78">
        <w:t>d</w:t>
      </w:r>
      <w:r w:rsidR="00954E78">
        <w:t xml:space="preserve">ispõe sobre a </w:t>
      </w:r>
      <w:bookmarkStart w:id="0" w:name="_Hlk200539742"/>
      <w:r w:rsidR="00954E78">
        <w:t>proibição de</w:t>
      </w:r>
      <w:r w:rsidR="00954E78">
        <w:t xml:space="preserve"> </w:t>
      </w:r>
      <w:r w:rsidR="00954E78">
        <w:t>nomeação e ingresso em cargos públicos</w:t>
      </w:r>
      <w:r w:rsidR="00954E78">
        <w:t xml:space="preserve"> </w:t>
      </w:r>
      <w:r w:rsidR="00954E78">
        <w:t>municipais de pessoas condenadas pela Lei</w:t>
      </w:r>
      <w:r w:rsidR="00954E78">
        <w:t xml:space="preserve"> </w:t>
      </w:r>
      <w:r w:rsidR="00954E78">
        <w:t>Federal n.º 11.304/06 (Lei Maria da Penha)</w:t>
      </w:r>
      <w:r w:rsidR="00954E78">
        <w:t xml:space="preserve"> </w:t>
      </w:r>
      <w:r w:rsidR="00954E78">
        <w:t>e dá outras providências.</w:t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7BDD586D" w:rsidR="00954E78" w:rsidRPr="00954E78" w:rsidRDefault="002A2905" w:rsidP="00954E78">
      <w:pPr>
        <w:ind w:left="142" w:firstLine="1843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954E78" w:rsidRPr="00954E78">
        <w:t>proibi</w:t>
      </w:r>
      <w:r w:rsidR="00954E78">
        <w:t>r</w:t>
      </w:r>
      <w:r w:rsidR="00954E78" w:rsidRPr="00954E78">
        <w:t xml:space="preserve"> de nomeação e ingresso em cargos públicos municipais de pessoas condenadas pela Lei Federal n.º 11.304/06 (Lei Maria da Penha) e dá outras providências.</w:t>
      </w:r>
    </w:p>
    <w:p w14:paraId="6DB2C3D5" w14:textId="4D34251D" w:rsidR="00756E00" w:rsidRPr="00B206A3" w:rsidRDefault="00756E00" w:rsidP="00756E00">
      <w:pPr>
        <w:ind w:left="567" w:firstLine="1985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8A019F" w14:textId="0C8BA832" w:rsidR="00954E78" w:rsidRDefault="00954E78" w:rsidP="00954E78">
      <w:pPr>
        <w:pStyle w:val="NormalWeb"/>
        <w:spacing w:after="120" w:line="240" w:lineRule="atLeast"/>
        <w:ind w:left="567" w:firstLine="1418"/>
        <w:jc w:val="both"/>
      </w:pPr>
      <w:r>
        <w:t>Neste sentido o</w:t>
      </w:r>
      <w:r>
        <w:t xml:space="preserve"> ministro Edson Fachin, do Supremo Tribunal Federal (STF), deu provimento a um Recurso Extraordinário (RE 1308883) para reconhecer a constitucionalidade de lei do município de Valinhos (SP) que impede a administração pública de nomear pessoas condenadas pela Lei Maria da Penha (Lei 11.340/2006) para cargos públicos.</w:t>
      </w:r>
    </w:p>
    <w:p w14:paraId="7F9D69D1" w14:textId="77777777" w:rsidR="00954E78" w:rsidRDefault="00954E78" w:rsidP="00954E78">
      <w:pPr>
        <w:pStyle w:val="NormalWeb"/>
        <w:spacing w:after="120" w:line="240" w:lineRule="atLeast"/>
        <w:ind w:left="567" w:firstLine="1418"/>
        <w:jc w:val="both"/>
      </w:pPr>
      <w:r>
        <w:t>O recurso, de autoria da Câmara Municipal de Valinhos e do Ministério Público paulista, questionava decisão do Tribunal de Justiça do Estado de São Paulo que considerou a norma inconstitucional. Segundo o TJ-SP, a Lei municipal 5.849/2019 teria violado o princípio da separação de Poderes, pois a competência para a iniciativa de lei sobre regime jurídico dos servidores é reservada ao chefe do Poder Executivo.</w:t>
      </w:r>
    </w:p>
    <w:p w14:paraId="0DE99048" w14:textId="77777777" w:rsidR="00954E78" w:rsidRDefault="00954E78" w:rsidP="00954E78">
      <w:pPr>
        <w:pStyle w:val="NormalWeb"/>
        <w:spacing w:after="120" w:line="240" w:lineRule="atLeast"/>
        <w:ind w:left="567" w:firstLine="1418"/>
        <w:jc w:val="both"/>
      </w:pPr>
      <w:r>
        <w:t>Para Fachin, no entanto, não é disso que trata a lei municipal questionada, que impôs regra geral de moralidade administrativa, com o objetivo de atender os princípios previstos na Constituição Federal (caput do artigo 37).</w:t>
      </w:r>
    </w:p>
    <w:p w14:paraId="3DEA2F20" w14:textId="77777777" w:rsidR="00954E78" w:rsidRDefault="00954E78" w:rsidP="00954E78">
      <w:pPr>
        <w:pStyle w:val="NormalWeb"/>
        <w:spacing w:after="120" w:line="240" w:lineRule="atLeast"/>
        <w:ind w:left="567" w:firstLine="1418"/>
        <w:jc w:val="both"/>
      </w:pPr>
      <w:r>
        <w:t xml:space="preserve">O ministro citou, ainda, jurisprudência do STF (RE 570392) segundo a qual não é privativa do chefe do Poder Executivo a competência para a iniciativa legislativa de lei sobre nepotismo na administração pública. Nesse ponto, lembrou posicionamento anterior da ministra </w:t>
      </w:r>
      <w:proofErr w:type="spellStart"/>
      <w:r>
        <w:t>Cármen</w:t>
      </w:r>
      <w:proofErr w:type="spellEnd"/>
      <w:r>
        <w:t xml:space="preserve"> Lúcia no sentido de que leis com esse conteúdo dão concretude aos princípios da moralidade e da impessoalidade.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</w:t>
      </w:r>
      <w:r w:rsidR="00AD36DC" w:rsidRPr="00B206A3">
        <w:lastRenderedPageBreak/>
        <w:t>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322B63C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B6481F">
        <w:t>10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5C2A4B1D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0</w:t>
    </w:r>
    <w:r w:rsidR="00B6481F">
      <w:rPr>
        <w:rFonts w:asciiTheme="majorHAnsi" w:eastAsiaTheme="majorEastAsia" w:hAnsiTheme="majorHAnsi" w:cstheme="majorBidi"/>
      </w:rPr>
      <w:t>9</w:t>
    </w:r>
    <w:r w:rsidR="00954E78">
      <w:rPr>
        <w:rFonts w:asciiTheme="majorHAnsi" w:eastAsiaTheme="majorEastAsia" w:hAnsiTheme="majorHAnsi" w:cstheme="majorBidi"/>
      </w:rPr>
      <w:t>9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2025-06-11T16:15:00Z</dcterms:created>
  <dcterms:modified xsi:type="dcterms:W3CDTF">2025-06-11T16:15:00Z</dcterms:modified>
</cp:coreProperties>
</file>