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RESOLUÇÃO 041/2025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138/2025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“Altera a Resolução 01, de 17 de abril de 2007, que dispõe sobre a criação de concessão de honrarias no Município de Itapevi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alterar a Resolução 01, de 17 de abril de 2007, que dispõe sobre a criação de concessão de honrarias no Município de Itapevi e dá outras providências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24 de junho de 2025.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  Vice-Presidente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Membro                                 Relator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Vice-Presidente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Relator                                      Membro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Vice-Presidente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 Relator                                      Membro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R 041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-1080090</wp:posOffset>
          </wp:positionH>
          <wp:positionV relativeFrom="paragraph">
            <wp:posOffset>-1518237</wp:posOffset>
          </wp:positionV>
          <wp:extent cx="7545070" cy="10193760"/>
          <wp:effectExtent b="0" l="0" r="0" t="0"/>
          <wp:wrapNone/>
          <wp:docPr id="140975420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RpYobA2aJGLKcbPlm0I8lEFsPw==">CgMxLjAyCWguMWZvYjl0ZTIJaC4yZXQ5MnAwMgloLjMwajB6bGw4AHIhMTlHemF1NnlvYU5MQ054Rm1aU3plZFF0NnFXd241cUNw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