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F3399F" w14:textId="5E83903B" w:rsidR="004F7A14" w:rsidRPr="004F7A14" w:rsidRDefault="007029C5" w:rsidP="00D31336">
      <w:pPr>
        <w:pStyle w:val="TextosemFormatao"/>
        <w:spacing w:after="240" w:line="25" w:lineRule="atLeast"/>
        <w:ind w:left="3402"/>
        <w:jc w:val="both"/>
        <w:rPr>
          <w:rFonts w:ascii="Times New Roman" w:eastAsia="MS Mincho" w:hAnsi="Times New Roman" w:cs="Times New Roman"/>
          <w:b/>
          <w:sz w:val="24"/>
        </w:rPr>
      </w:pPr>
      <w:r>
        <w:rPr>
          <w:rFonts w:ascii="Times New Roman" w:eastAsia="MS Mincho" w:hAnsi="Times New Roman" w:cs="Times New Roman"/>
          <w:b/>
          <w:sz w:val="24"/>
        </w:rPr>
        <w:t>INDICAÇÃO</w:t>
      </w:r>
      <w:r w:rsidR="00636A4F">
        <w:rPr>
          <w:rFonts w:ascii="Times New Roman" w:eastAsia="MS Mincho" w:hAnsi="Times New Roman" w:cs="Times New Roman"/>
          <w:b/>
          <w:sz w:val="24"/>
        </w:rPr>
        <w:t xml:space="preserve"> </w:t>
      </w:r>
      <w:r w:rsidR="00B423AE">
        <w:rPr>
          <w:rFonts w:ascii="Times New Roman" w:eastAsia="MS Mincho" w:hAnsi="Times New Roman" w:cs="Times New Roman"/>
          <w:b/>
          <w:sz w:val="24"/>
        </w:rPr>
        <w:t>1692</w:t>
      </w:r>
      <w:r w:rsidR="00636A4F">
        <w:rPr>
          <w:rFonts w:ascii="Times New Roman" w:eastAsia="MS Mincho" w:hAnsi="Times New Roman" w:cs="Times New Roman"/>
          <w:b/>
          <w:sz w:val="24"/>
        </w:rPr>
        <w:t>/2025</w:t>
      </w:r>
    </w:p>
    <w:p w14:paraId="06B228A6" w14:textId="77777777" w:rsidR="004F7A14" w:rsidRPr="004F7A14" w:rsidRDefault="004F7A14" w:rsidP="00D31336">
      <w:pPr>
        <w:spacing w:line="25" w:lineRule="atLeast"/>
        <w:rPr>
          <w:rFonts w:ascii="Times New Roman" w:hAnsi="Times New Roman" w:cs="Times New Roman"/>
          <w:b/>
          <w:sz w:val="24"/>
          <w:szCs w:val="24"/>
        </w:rPr>
      </w:pPr>
    </w:p>
    <w:p w14:paraId="2C829F8A" w14:textId="3602DE8A" w:rsidR="004F7A14" w:rsidRPr="004F7A14" w:rsidRDefault="004F7A14" w:rsidP="00D31336">
      <w:pPr>
        <w:tabs>
          <w:tab w:val="left" w:pos="3960"/>
        </w:tabs>
        <w:spacing w:line="25" w:lineRule="atLeast"/>
        <w:ind w:left="4080"/>
        <w:jc w:val="both"/>
        <w:rPr>
          <w:rFonts w:ascii="Times New Roman" w:hAnsi="Times New Roman" w:cs="Times New Roman"/>
          <w:sz w:val="24"/>
          <w:szCs w:val="24"/>
        </w:rPr>
      </w:pPr>
      <w:r w:rsidRPr="004F7A14">
        <w:rPr>
          <w:rFonts w:ascii="Times New Roman" w:hAnsi="Times New Roman" w:cs="Times New Roman"/>
          <w:b/>
          <w:sz w:val="24"/>
          <w:szCs w:val="24"/>
        </w:rPr>
        <w:t>Súmula</w:t>
      </w:r>
      <w:r w:rsidRPr="004F7A14">
        <w:rPr>
          <w:rFonts w:ascii="Times New Roman" w:hAnsi="Times New Roman" w:cs="Times New Roman"/>
          <w:sz w:val="24"/>
          <w:szCs w:val="24"/>
        </w:rPr>
        <w:t xml:space="preserve">: </w:t>
      </w:r>
      <w:r w:rsidR="007029C5" w:rsidRPr="007029C5">
        <w:rPr>
          <w:rFonts w:ascii="Times New Roman" w:hAnsi="Times New Roman" w:cs="Times New Roman"/>
          <w:sz w:val="24"/>
          <w:szCs w:val="24"/>
        </w:rPr>
        <w:t>Solicita ao Executivo que encaminhe Projeto de Lei Complementar, conforme minuta anexa, alterando o § 3º do Art. 165 da Lei nº 223/1974, para ampliar o período de garantia de gratificação em casos de afastamento por acidente de trabalho.</w:t>
      </w:r>
    </w:p>
    <w:p w14:paraId="5C2AE70C" w14:textId="77777777" w:rsidR="004F7A14" w:rsidRPr="004F7A14" w:rsidRDefault="004F7A14" w:rsidP="00D31336">
      <w:pPr>
        <w:spacing w:line="25" w:lineRule="atLeast"/>
        <w:rPr>
          <w:rFonts w:ascii="Times New Roman" w:hAnsi="Times New Roman" w:cs="Times New Roman"/>
          <w:sz w:val="24"/>
          <w:szCs w:val="24"/>
        </w:rPr>
      </w:pPr>
    </w:p>
    <w:p w14:paraId="74EEA221" w14:textId="3331ADDD" w:rsidR="004F7A14" w:rsidRPr="004F7A14" w:rsidRDefault="004F7A14" w:rsidP="00D31336">
      <w:pPr>
        <w:tabs>
          <w:tab w:val="left" w:pos="2640"/>
        </w:tabs>
        <w:spacing w:line="25" w:lineRule="atLeast"/>
        <w:ind w:firstLine="1320"/>
        <w:jc w:val="both"/>
        <w:rPr>
          <w:rFonts w:ascii="Times New Roman" w:hAnsi="Times New Roman" w:cs="Times New Roman"/>
          <w:sz w:val="24"/>
          <w:szCs w:val="24"/>
        </w:rPr>
      </w:pPr>
      <w:r w:rsidRPr="004F7A14">
        <w:rPr>
          <w:rFonts w:ascii="Times New Roman" w:hAnsi="Times New Roman" w:cs="Times New Roman"/>
          <w:b/>
          <w:sz w:val="24"/>
          <w:szCs w:val="24"/>
        </w:rPr>
        <w:t xml:space="preserve">INDICO </w:t>
      </w:r>
      <w:r w:rsidRPr="004F7A14">
        <w:rPr>
          <w:rFonts w:ascii="Times New Roman" w:hAnsi="Times New Roman" w:cs="Times New Roman"/>
          <w:sz w:val="24"/>
          <w:szCs w:val="24"/>
        </w:rPr>
        <w:t xml:space="preserve">à Mesa, na forma regimental vigente, seja oficiado ao Excelentíssimo Senhor </w:t>
      </w:r>
      <w:r w:rsidR="004005D8">
        <w:rPr>
          <w:rFonts w:ascii="Times New Roman" w:hAnsi="Times New Roman" w:cs="Times New Roman"/>
          <w:sz w:val="24"/>
          <w:szCs w:val="24"/>
        </w:rPr>
        <w:t>Marcos Ferreira Godoy</w:t>
      </w:r>
      <w:r w:rsidRPr="004F7A14">
        <w:rPr>
          <w:rFonts w:ascii="Times New Roman" w:hAnsi="Times New Roman" w:cs="Times New Roman"/>
          <w:sz w:val="24"/>
          <w:szCs w:val="24"/>
        </w:rPr>
        <w:t>, Prefeito Municipal,</w:t>
      </w:r>
      <w:r w:rsidRPr="007029C5">
        <w:rPr>
          <w:rFonts w:ascii="Times New Roman" w:hAnsi="Times New Roman" w:cs="Times New Roman"/>
          <w:sz w:val="24"/>
          <w:szCs w:val="24"/>
        </w:rPr>
        <w:t xml:space="preserve"> </w:t>
      </w:r>
      <w:r w:rsidR="007029C5" w:rsidRPr="007029C5">
        <w:rPr>
          <w:rFonts w:ascii="Times New Roman" w:hAnsi="Times New Roman" w:cs="Times New Roman"/>
          <w:color w:val="404040"/>
          <w:sz w:val="24"/>
          <w:szCs w:val="24"/>
        </w:rPr>
        <w:t>para que encaminhe à Câmara Municipal </w:t>
      </w:r>
      <w:r w:rsidR="007029C5" w:rsidRPr="007029C5">
        <w:rPr>
          <w:rStyle w:val="Forte"/>
          <w:rFonts w:ascii="Times New Roman" w:hAnsi="Times New Roman" w:cs="Times New Roman"/>
          <w:color w:val="404040"/>
          <w:sz w:val="24"/>
          <w:szCs w:val="24"/>
        </w:rPr>
        <w:t>Projeto de Lei Complementar</w:t>
      </w:r>
      <w:r w:rsidR="007029C5" w:rsidRPr="007029C5">
        <w:rPr>
          <w:rFonts w:ascii="Times New Roman" w:hAnsi="Times New Roman" w:cs="Times New Roman"/>
          <w:color w:val="404040"/>
          <w:sz w:val="24"/>
          <w:szCs w:val="24"/>
        </w:rPr>
        <w:t>, nos termos da minuta anexa, alterando o § 3º do Art. 165 da Lei nº 223, de 01 de agosto de 1974 (Estatuto dos Funcionários Públicos do Município de Itapevi), com a finalidade de ampliar para </w:t>
      </w:r>
      <w:r w:rsidR="007029C5" w:rsidRPr="007029C5">
        <w:rPr>
          <w:rStyle w:val="Forte"/>
          <w:rFonts w:ascii="Times New Roman" w:hAnsi="Times New Roman" w:cs="Times New Roman"/>
          <w:color w:val="404040"/>
          <w:sz w:val="24"/>
          <w:szCs w:val="24"/>
        </w:rPr>
        <w:t>90 (noventa) dias</w:t>
      </w:r>
      <w:r w:rsidR="007029C5" w:rsidRPr="007029C5">
        <w:rPr>
          <w:rFonts w:ascii="Times New Roman" w:hAnsi="Times New Roman" w:cs="Times New Roman"/>
          <w:color w:val="404040"/>
          <w:sz w:val="24"/>
          <w:szCs w:val="24"/>
        </w:rPr>
        <w:t xml:space="preserve"> a </w:t>
      </w:r>
      <w:r w:rsidR="007029C5">
        <w:rPr>
          <w:rFonts w:ascii="Times New Roman" w:hAnsi="Times New Roman" w:cs="Times New Roman"/>
          <w:color w:val="404040"/>
          <w:sz w:val="24"/>
          <w:szCs w:val="24"/>
        </w:rPr>
        <w:t>continuidade</w:t>
      </w:r>
      <w:r w:rsidR="007029C5" w:rsidRPr="007029C5">
        <w:rPr>
          <w:rFonts w:ascii="Times New Roman" w:hAnsi="Times New Roman" w:cs="Times New Roman"/>
          <w:color w:val="404040"/>
          <w:sz w:val="24"/>
          <w:szCs w:val="24"/>
        </w:rPr>
        <w:t xml:space="preserve"> da gratificação em casos de afastamento por acidente de trabalho.</w:t>
      </w:r>
    </w:p>
    <w:p w14:paraId="7AADB76C" w14:textId="77777777" w:rsidR="004F7A14" w:rsidRPr="004F7A14" w:rsidRDefault="004F7A14" w:rsidP="00D31336">
      <w:pPr>
        <w:spacing w:line="25" w:lineRule="atLeast"/>
        <w:jc w:val="both"/>
        <w:rPr>
          <w:rFonts w:ascii="Times New Roman" w:hAnsi="Times New Roman" w:cs="Times New Roman"/>
          <w:sz w:val="24"/>
          <w:szCs w:val="24"/>
        </w:rPr>
      </w:pPr>
    </w:p>
    <w:p w14:paraId="756296CD" w14:textId="77777777" w:rsidR="004F7A14" w:rsidRPr="004F7A14" w:rsidRDefault="004F7A14" w:rsidP="00D31336">
      <w:pPr>
        <w:spacing w:line="25" w:lineRule="atLeast"/>
        <w:jc w:val="center"/>
        <w:rPr>
          <w:rFonts w:ascii="Times New Roman" w:hAnsi="Times New Roman" w:cs="Times New Roman"/>
          <w:sz w:val="24"/>
          <w:szCs w:val="24"/>
        </w:rPr>
      </w:pPr>
      <w:r w:rsidRPr="004F7A14">
        <w:rPr>
          <w:rFonts w:ascii="Times New Roman" w:hAnsi="Times New Roman" w:cs="Times New Roman"/>
          <w:b/>
          <w:sz w:val="24"/>
          <w:szCs w:val="24"/>
          <w:u w:val="single"/>
        </w:rPr>
        <w:t>Justificativa</w:t>
      </w:r>
    </w:p>
    <w:p w14:paraId="521EAC2B" w14:textId="77777777" w:rsidR="004F7A14" w:rsidRPr="004F7A14" w:rsidRDefault="004F7A14" w:rsidP="00D31336">
      <w:pPr>
        <w:spacing w:line="25" w:lineRule="atLeast"/>
        <w:rPr>
          <w:rFonts w:ascii="Times New Roman" w:hAnsi="Times New Roman" w:cs="Times New Roman"/>
          <w:sz w:val="24"/>
          <w:szCs w:val="24"/>
        </w:rPr>
      </w:pPr>
    </w:p>
    <w:p w14:paraId="74443A62" w14:textId="77777777" w:rsidR="007029C5" w:rsidRPr="007029C5" w:rsidRDefault="007029C5" w:rsidP="00D31336">
      <w:pPr>
        <w:spacing w:line="25" w:lineRule="atLeast"/>
        <w:ind w:firstLine="708"/>
        <w:jc w:val="both"/>
        <w:rPr>
          <w:rFonts w:ascii="Times New Roman" w:hAnsi="Times New Roman" w:cs="Times New Roman"/>
          <w:sz w:val="24"/>
          <w:szCs w:val="24"/>
        </w:rPr>
      </w:pPr>
      <w:r w:rsidRPr="007029C5">
        <w:rPr>
          <w:rFonts w:ascii="Times New Roman" w:hAnsi="Times New Roman" w:cs="Times New Roman"/>
          <w:sz w:val="24"/>
          <w:szCs w:val="24"/>
        </w:rPr>
        <w:t>A presente indicação visa assegurar maior proteção aos servidores públicos do Município de Itapevi, garantindo que aqueles afastados por acidente de trabalho não sejam prejudicados financeiramente devido a um período de recuperação que ultrapasse os 30 dias atualmente previstos em lei. A proposta em questão busca corrigir uma distorção que pode gerar injustiças, especialmente em casos onde o servidor necessita de um tempo maior para se recuperar integralmente, sem que isso implique na perda de uma parcela significativa de sua remuneração.</w:t>
      </w:r>
    </w:p>
    <w:p w14:paraId="7F3026A6" w14:textId="77777777" w:rsidR="007029C5" w:rsidRPr="007029C5" w:rsidRDefault="007029C5" w:rsidP="00D31336">
      <w:pPr>
        <w:spacing w:line="25" w:lineRule="atLeast"/>
        <w:ind w:firstLine="708"/>
        <w:jc w:val="both"/>
        <w:rPr>
          <w:rFonts w:ascii="Times New Roman" w:hAnsi="Times New Roman" w:cs="Times New Roman"/>
          <w:sz w:val="24"/>
          <w:szCs w:val="24"/>
        </w:rPr>
      </w:pPr>
      <w:r w:rsidRPr="007029C5">
        <w:rPr>
          <w:rFonts w:ascii="Times New Roman" w:hAnsi="Times New Roman" w:cs="Times New Roman"/>
          <w:sz w:val="24"/>
          <w:szCs w:val="24"/>
        </w:rPr>
        <w:t>A minuta anexa, elaborada com base nos princípios constitucionais da dignidade da pessoa humana e da valorização do trabalho, justifica-se pela necessidade de promover um tratamento mais justo e equitativo aos servidores, alinhando a legislação municipal às melhores práticas de proteção ao trabalhador. Além disso, a medida reforça o compromisso do Município com a saúde e segurança no ambiente de trabalho, assegurando que os servidores possam contar com um apoio adequado em situações adversas.</w:t>
      </w:r>
    </w:p>
    <w:p w14:paraId="6228D537" w14:textId="47447328" w:rsidR="004F7A14" w:rsidRDefault="007029C5" w:rsidP="00D31336">
      <w:pPr>
        <w:spacing w:line="25" w:lineRule="atLeast"/>
        <w:ind w:firstLine="708"/>
        <w:jc w:val="both"/>
        <w:rPr>
          <w:rFonts w:ascii="Times New Roman" w:hAnsi="Times New Roman" w:cs="Times New Roman"/>
          <w:sz w:val="24"/>
          <w:szCs w:val="24"/>
        </w:rPr>
      </w:pPr>
      <w:r w:rsidRPr="007029C5">
        <w:rPr>
          <w:rFonts w:ascii="Times New Roman" w:hAnsi="Times New Roman" w:cs="Times New Roman"/>
          <w:sz w:val="24"/>
          <w:szCs w:val="24"/>
        </w:rPr>
        <w:t xml:space="preserve">Conforme dispõe </w:t>
      </w:r>
      <w:r>
        <w:rPr>
          <w:rFonts w:ascii="Times New Roman" w:hAnsi="Times New Roman" w:cs="Times New Roman"/>
          <w:sz w:val="24"/>
          <w:szCs w:val="24"/>
        </w:rPr>
        <w:t>a Lei Orgânica do Município</w:t>
      </w:r>
      <w:r w:rsidRPr="007029C5">
        <w:rPr>
          <w:rFonts w:ascii="Times New Roman" w:hAnsi="Times New Roman" w:cs="Times New Roman"/>
          <w:sz w:val="24"/>
          <w:szCs w:val="24"/>
        </w:rPr>
        <w:t>, a matéria é de iniciativa exclusiva do Chefe do Executivo, razão pela qual se solicita as providências necessárias para que o projeto seja encaminhado a esta Casa Legislativa. A aprovação desta proposta representará um avanço significativo na garantia dos direitos dos servidores públicos, contribuindo para um ambiente de trabalho mais justo e digno.</w:t>
      </w:r>
    </w:p>
    <w:p w14:paraId="71A81CB8" w14:textId="77777777" w:rsidR="007029C5" w:rsidRPr="004F7A14" w:rsidRDefault="007029C5" w:rsidP="00D31336">
      <w:pPr>
        <w:spacing w:line="25" w:lineRule="atLeast"/>
        <w:ind w:firstLine="708"/>
        <w:rPr>
          <w:rFonts w:ascii="Times New Roman" w:hAnsi="Times New Roman" w:cs="Times New Roman"/>
          <w:sz w:val="24"/>
          <w:szCs w:val="24"/>
        </w:rPr>
      </w:pPr>
    </w:p>
    <w:p w14:paraId="38B4BDC0" w14:textId="1F457242" w:rsidR="004F7A14" w:rsidRPr="004F7A14" w:rsidRDefault="004F7A14" w:rsidP="00D31336">
      <w:pPr>
        <w:spacing w:line="25" w:lineRule="atLeast"/>
        <w:ind w:firstLine="1320"/>
        <w:rPr>
          <w:rFonts w:ascii="Times New Roman" w:hAnsi="Times New Roman" w:cs="Times New Roman"/>
          <w:sz w:val="24"/>
          <w:szCs w:val="24"/>
        </w:rPr>
      </w:pPr>
      <w:r w:rsidRPr="004F7A14">
        <w:rPr>
          <w:rFonts w:ascii="Times New Roman" w:hAnsi="Times New Roman" w:cs="Times New Roman"/>
          <w:sz w:val="24"/>
          <w:szCs w:val="24"/>
        </w:rPr>
        <w:t xml:space="preserve">Sala das Sessões Bemvindo Moreira Nery, </w:t>
      </w:r>
      <w:r w:rsidR="003D11E6">
        <w:rPr>
          <w:rFonts w:ascii="Times New Roman" w:hAnsi="Times New Roman" w:cs="Times New Roman"/>
          <w:sz w:val="24"/>
          <w:szCs w:val="24"/>
        </w:rPr>
        <w:t>10</w:t>
      </w:r>
      <w:r w:rsidRPr="004F7A14">
        <w:rPr>
          <w:rFonts w:ascii="Times New Roman" w:hAnsi="Times New Roman" w:cs="Times New Roman"/>
          <w:sz w:val="24"/>
          <w:szCs w:val="24"/>
        </w:rPr>
        <w:t xml:space="preserve"> de </w:t>
      </w:r>
      <w:r w:rsidR="003D11E6">
        <w:rPr>
          <w:rFonts w:ascii="Times New Roman" w:hAnsi="Times New Roman" w:cs="Times New Roman"/>
          <w:sz w:val="24"/>
          <w:szCs w:val="24"/>
        </w:rPr>
        <w:t>abril</w:t>
      </w:r>
      <w:r w:rsidRPr="004F7A14">
        <w:rPr>
          <w:rFonts w:ascii="Times New Roman" w:hAnsi="Times New Roman" w:cs="Times New Roman"/>
          <w:sz w:val="24"/>
          <w:szCs w:val="24"/>
        </w:rPr>
        <w:t xml:space="preserve"> de 20</w:t>
      </w:r>
      <w:r w:rsidR="003D11E6">
        <w:rPr>
          <w:rFonts w:ascii="Times New Roman" w:hAnsi="Times New Roman" w:cs="Times New Roman"/>
          <w:sz w:val="24"/>
          <w:szCs w:val="24"/>
        </w:rPr>
        <w:t>25</w:t>
      </w:r>
      <w:r w:rsidRPr="004F7A14">
        <w:rPr>
          <w:rFonts w:ascii="Times New Roman" w:hAnsi="Times New Roman" w:cs="Times New Roman"/>
          <w:sz w:val="24"/>
          <w:szCs w:val="24"/>
        </w:rPr>
        <w:t>.</w:t>
      </w:r>
    </w:p>
    <w:p w14:paraId="08E04525" w14:textId="77777777" w:rsidR="004F7A14" w:rsidRPr="004F7A14" w:rsidRDefault="004F7A14" w:rsidP="00D31336">
      <w:pPr>
        <w:tabs>
          <w:tab w:val="left" w:pos="2280"/>
        </w:tabs>
        <w:spacing w:line="25" w:lineRule="atLeast"/>
        <w:ind w:firstLine="708"/>
        <w:jc w:val="both"/>
        <w:rPr>
          <w:rFonts w:ascii="Times New Roman" w:hAnsi="Times New Roman" w:cs="Times New Roman"/>
          <w:sz w:val="24"/>
          <w:szCs w:val="24"/>
        </w:rPr>
      </w:pPr>
    </w:p>
    <w:p w14:paraId="2E86FF77" w14:textId="77777777" w:rsidR="004F7A14" w:rsidRPr="004F7A14" w:rsidRDefault="004F7A14" w:rsidP="00D31336">
      <w:pPr>
        <w:tabs>
          <w:tab w:val="left" w:pos="2280"/>
        </w:tabs>
        <w:spacing w:line="25" w:lineRule="atLeast"/>
        <w:jc w:val="both"/>
        <w:rPr>
          <w:rFonts w:ascii="Times New Roman" w:hAnsi="Times New Roman" w:cs="Times New Roman"/>
          <w:sz w:val="24"/>
          <w:szCs w:val="24"/>
        </w:rPr>
      </w:pPr>
    </w:p>
    <w:p w14:paraId="0C03353A" w14:textId="440E4EF9" w:rsidR="004F7A14" w:rsidRPr="004F7A14" w:rsidRDefault="003D11E6" w:rsidP="00D31336">
      <w:pPr>
        <w:tabs>
          <w:tab w:val="left" w:pos="5175"/>
        </w:tabs>
        <w:spacing w:line="25" w:lineRule="atLeast"/>
        <w:ind w:firstLine="708"/>
        <w:jc w:val="center"/>
        <w:rPr>
          <w:rFonts w:ascii="Times New Roman" w:hAnsi="Times New Roman" w:cs="Times New Roman"/>
          <w:b/>
          <w:sz w:val="24"/>
          <w:szCs w:val="24"/>
        </w:rPr>
      </w:pPr>
      <w:r>
        <w:rPr>
          <w:rFonts w:ascii="Times New Roman" w:hAnsi="Times New Roman" w:cs="Times New Roman"/>
          <w:b/>
          <w:sz w:val="24"/>
          <w:szCs w:val="24"/>
        </w:rPr>
        <w:t>RAFAEL ALAN DE MORAES ROMEIRO</w:t>
      </w:r>
    </w:p>
    <w:p w14:paraId="57F2BFDA" w14:textId="53689FAA" w:rsidR="00DD4208" w:rsidRDefault="003D11E6" w:rsidP="00D31336">
      <w:pPr>
        <w:tabs>
          <w:tab w:val="left" w:pos="2280"/>
        </w:tabs>
        <w:spacing w:line="25" w:lineRule="atLeast"/>
        <w:ind w:firstLine="708"/>
        <w:jc w:val="center"/>
        <w:rPr>
          <w:rFonts w:ascii="Times New Roman" w:hAnsi="Times New Roman" w:cs="Times New Roman"/>
          <w:b/>
          <w:sz w:val="24"/>
          <w:szCs w:val="24"/>
        </w:rPr>
      </w:pPr>
      <w:r>
        <w:rPr>
          <w:rFonts w:ascii="Times New Roman" w:hAnsi="Times New Roman" w:cs="Times New Roman"/>
          <w:b/>
          <w:sz w:val="24"/>
          <w:szCs w:val="24"/>
        </w:rPr>
        <w:t>PRESIDENTE DA CÂMARA MUNICIPAL DE ITAPEVI</w:t>
      </w:r>
    </w:p>
    <w:p w14:paraId="7091E0C5" w14:textId="2768E82B" w:rsidR="00EF3485" w:rsidRDefault="00EF3485">
      <w:pPr>
        <w:rPr>
          <w:rFonts w:ascii="Times New Roman" w:hAnsi="Times New Roman" w:cs="Times New Roman"/>
          <w:b/>
          <w:sz w:val="24"/>
          <w:szCs w:val="24"/>
        </w:rPr>
      </w:pPr>
      <w:r>
        <w:rPr>
          <w:rFonts w:ascii="Times New Roman" w:hAnsi="Times New Roman" w:cs="Times New Roman"/>
          <w:b/>
          <w:sz w:val="24"/>
          <w:szCs w:val="24"/>
        </w:rPr>
        <w:br w:type="page"/>
      </w:r>
    </w:p>
    <w:p w14:paraId="01A2AA65" w14:textId="1B3C2B95" w:rsidR="00EF3485" w:rsidRDefault="00EF3485" w:rsidP="00EF3485">
      <w:pPr>
        <w:pStyle w:val="TextosemFormatao"/>
        <w:spacing w:after="240" w:line="360" w:lineRule="exact"/>
        <w:jc w:val="center"/>
        <w:rPr>
          <w:rFonts w:ascii="Times New Roman" w:eastAsia="MS Mincho" w:hAnsi="Times New Roman" w:cs="Times New Roman"/>
          <w:b/>
          <w:sz w:val="24"/>
        </w:rPr>
      </w:pPr>
      <w:r>
        <w:rPr>
          <w:rFonts w:ascii="Times New Roman" w:eastAsia="MS Mincho" w:hAnsi="Times New Roman" w:cs="Times New Roman"/>
          <w:b/>
          <w:sz w:val="24"/>
        </w:rPr>
        <w:lastRenderedPageBreak/>
        <w:t xml:space="preserve">ANEXO À INDICAÇÃO </w:t>
      </w:r>
      <w:r w:rsidR="00A454C7">
        <w:rPr>
          <w:rFonts w:ascii="Times New Roman" w:eastAsia="MS Mincho" w:hAnsi="Times New Roman" w:cs="Times New Roman"/>
          <w:b/>
          <w:sz w:val="24"/>
        </w:rPr>
        <w:t>1692</w:t>
      </w:r>
      <w:r>
        <w:rPr>
          <w:rFonts w:ascii="Times New Roman" w:eastAsia="MS Mincho" w:hAnsi="Times New Roman" w:cs="Times New Roman"/>
          <w:b/>
          <w:sz w:val="24"/>
        </w:rPr>
        <w:t>/2025</w:t>
      </w:r>
    </w:p>
    <w:p w14:paraId="586FA1C2" w14:textId="77777777" w:rsidR="00EF3485" w:rsidRPr="00E54C96" w:rsidRDefault="00EF3485" w:rsidP="00EF3485">
      <w:pPr>
        <w:pStyle w:val="TextosemFormatao"/>
        <w:spacing w:after="240" w:line="360" w:lineRule="exact"/>
        <w:jc w:val="center"/>
        <w:rPr>
          <w:rFonts w:ascii="Times New Roman" w:eastAsia="MS Mincho" w:hAnsi="Times New Roman" w:cs="Times New Roman"/>
          <w:b/>
          <w:sz w:val="24"/>
        </w:rPr>
      </w:pPr>
      <w:r>
        <w:rPr>
          <w:rFonts w:ascii="Times New Roman" w:eastAsia="MS Mincho" w:hAnsi="Times New Roman" w:cs="Times New Roman"/>
          <w:b/>
          <w:sz w:val="24"/>
        </w:rPr>
        <w:t>MINUTA DE PROJETO DE LEI COMPLEMENTAR</w:t>
      </w:r>
    </w:p>
    <w:p w14:paraId="4D9D6ABD" w14:textId="77777777" w:rsidR="00EF3485" w:rsidRPr="005908F6" w:rsidRDefault="00EF3485" w:rsidP="00EF3485">
      <w:pPr>
        <w:pStyle w:val="TextosemFormatao"/>
        <w:spacing w:after="240" w:line="360" w:lineRule="exact"/>
        <w:jc w:val="both"/>
        <w:rPr>
          <w:rFonts w:ascii="Times New Roman" w:eastAsia="MS Mincho" w:hAnsi="Times New Roman" w:cs="Times New Roman"/>
          <w:i/>
          <w:sz w:val="24"/>
        </w:rPr>
      </w:pPr>
    </w:p>
    <w:p w14:paraId="2B14C31B" w14:textId="77777777" w:rsidR="00EF3485" w:rsidRPr="005908F6" w:rsidRDefault="00EF3485" w:rsidP="00EF3485">
      <w:pPr>
        <w:pStyle w:val="TextosemFormatao"/>
        <w:spacing w:after="240" w:line="360" w:lineRule="exact"/>
        <w:ind w:left="3402"/>
        <w:jc w:val="both"/>
        <w:rPr>
          <w:rFonts w:ascii="Times New Roman" w:eastAsia="MS Mincho" w:hAnsi="Times New Roman" w:cs="Times New Roman"/>
          <w:i/>
          <w:sz w:val="24"/>
        </w:rPr>
      </w:pPr>
      <w:r>
        <w:rPr>
          <w:rFonts w:ascii="Times New Roman" w:eastAsia="MS Mincho" w:hAnsi="Times New Roman" w:cs="Times New Roman"/>
          <w:i/>
          <w:sz w:val="24"/>
        </w:rPr>
        <w:t>Altera a redação do §3º do Art. 165 da Lei nº 223 de 01 de agosto de 1974, que d</w:t>
      </w:r>
      <w:r w:rsidRPr="001200AA">
        <w:rPr>
          <w:rFonts w:ascii="Times New Roman" w:eastAsia="MS Mincho" w:hAnsi="Times New Roman" w:cs="Times New Roman"/>
          <w:i/>
          <w:sz w:val="24"/>
        </w:rPr>
        <w:t>ispõe sobre o Estatuto dos Funcionários Públicos do Município de Itapevi</w:t>
      </w:r>
      <w:r w:rsidRPr="005908F6">
        <w:rPr>
          <w:rFonts w:ascii="Times New Roman" w:eastAsia="MS Mincho" w:hAnsi="Times New Roman" w:cs="Times New Roman"/>
          <w:i/>
          <w:sz w:val="24"/>
        </w:rPr>
        <w:t>.</w:t>
      </w:r>
    </w:p>
    <w:p w14:paraId="568DB29B" w14:textId="77777777" w:rsidR="00EF3485" w:rsidRPr="005908F6" w:rsidRDefault="00EF3485" w:rsidP="00EF3485">
      <w:pPr>
        <w:pStyle w:val="TextosemFormatao"/>
        <w:spacing w:after="240" w:line="360" w:lineRule="exact"/>
        <w:jc w:val="both"/>
        <w:rPr>
          <w:rFonts w:ascii="Times New Roman" w:eastAsia="MS Mincho" w:hAnsi="Times New Roman" w:cs="Times New Roman"/>
          <w:sz w:val="24"/>
        </w:rPr>
      </w:pPr>
    </w:p>
    <w:p w14:paraId="1509CF4F" w14:textId="77777777" w:rsidR="00EF3485" w:rsidRDefault="00EF3485" w:rsidP="00EF3485">
      <w:pPr>
        <w:pStyle w:val="TextosemFormatao"/>
        <w:spacing w:after="240" w:line="360" w:lineRule="exact"/>
        <w:jc w:val="both"/>
        <w:rPr>
          <w:rFonts w:ascii="Times New Roman" w:eastAsia="MS Mincho" w:hAnsi="Times New Roman" w:cs="Times New Roman"/>
          <w:sz w:val="24"/>
        </w:rPr>
      </w:pPr>
      <w:r w:rsidRPr="00337C11">
        <w:rPr>
          <w:rFonts w:ascii="Times New Roman" w:eastAsia="MS Mincho" w:hAnsi="Times New Roman" w:cs="Times New Roman"/>
          <w:sz w:val="24"/>
        </w:rPr>
        <w:t xml:space="preserve">A CÂMARA MUNICIPAL DE </w:t>
      </w:r>
      <w:r>
        <w:rPr>
          <w:rFonts w:ascii="Times New Roman" w:eastAsia="MS Mincho" w:hAnsi="Times New Roman" w:cs="Times New Roman"/>
          <w:sz w:val="24"/>
        </w:rPr>
        <w:t>ITAPEVI, no uso de suas atribuições legais, Aprova:</w:t>
      </w:r>
    </w:p>
    <w:p w14:paraId="3462CBDD" w14:textId="77777777" w:rsidR="00EF3485" w:rsidRDefault="00EF3485" w:rsidP="00EF3485">
      <w:pPr>
        <w:pStyle w:val="TextosemFormatao"/>
        <w:spacing w:after="240" w:line="360" w:lineRule="exact"/>
        <w:jc w:val="both"/>
        <w:rPr>
          <w:rFonts w:ascii="Times New Roman" w:eastAsia="MS Mincho" w:hAnsi="Times New Roman" w:cs="Times New Roman"/>
          <w:sz w:val="24"/>
        </w:rPr>
      </w:pPr>
    </w:p>
    <w:p w14:paraId="4D339FAC" w14:textId="77777777" w:rsidR="00EF3485" w:rsidRDefault="00EF3485" w:rsidP="00EF3485">
      <w:pPr>
        <w:pStyle w:val="TextosemFormatao"/>
        <w:spacing w:after="240" w:line="360" w:lineRule="exact"/>
        <w:jc w:val="both"/>
        <w:rPr>
          <w:rFonts w:ascii="Times New Roman" w:eastAsia="MS Mincho" w:hAnsi="Times New Roman" w:cs="Times New Roman"/>
          <w:sz w:val="24"/>
        </w:rPr>
      </w:pPr>
      <w:r w:rsidRPr="001200AA">
        <w:rPr>
          <w:rFonts w:ascii="Times New Roman" w:eastAsia="MS Mincho" w:hAnsi="Times New Roman" w:cs="Times New Roman"/>
          <w:b/>
          <w:sz w:val="24"/>
        </w:rPr>
        <w:t>Art. 1º</w:t>
      </w:r>
      <w:r w:rsidRPr="005908F6">
        <w:rPr>
          <w:rFonts w:ascii="Times New Roman" w:eastAsia="MS Mincho" w:hAnsi="Times New Roman" w:cs="Times New Roman"/>
          <w:sz w:val="24"/>
        </w:rPr>
        <w:t xml:space="preserve"> </w:t>
      </w:r>
      <w:r>
        <w:rPr>
          <w:rFonts w:ascii="Times New Roman" w:eastAsia="MS Mincho" w:hAnsi="Times New Roman" w:cs="Times New Roman"/>
          <w:sz w:val="24"/>
        </w:rPr>
        <w:t xml:space="preserve">O </w:t>
      </w:r>
      <w:r w:rsidRPr="001200AA">
        <w:rPr>
          <w:rFonts w:ascii="Times New Roman" w:eastAsia="MS Mincho" w:hAnsi="Times New Roman" w:cs="Times New Roman"/>
          <w:sz w:val="24"/>
        </w:rPr>
        <w:t xml:space="preserve">§ 3º </w:t>
      </w:r>
      <w:r>
        <w:rPr>
          <w:rFonts w:ascii="Times New Roman" w:eastAsia="MS Mincho" w:hAnsi="Times New Roman" w:cs="Times New Roman"/>
          <w:sz w:val="24"/>
        </w:rPr>
        <w:t xml:space="preserve">do Art. 165 </w:t>
      </w:r>
      <w:r w:rsidRPr="001200AA">
        <w:rPr>
          <w:rFonts w:ascii="Times New Roman" w:eastAsia="MS Mincho" w:hAnsi="Times New Roman" w:cs="Times New Roman"/>
          <w:sz w:val="24"/>
        </w:rPr>
        <w:t>da Lei nº 223 de 01 de agosto de 1974</w:t>
      </w:r>
      <w:r>
        <w:rPr>
          <w:rFonts w:ascii="Times New Roman" w:eastAsia="MS Mincho" w:hAnsi="Times New Roman" w:cs="Times New Roman"/>
          <w:sz w:val="24"/>
        </w:rPr>
        <w:t xml:space="preserve">, passa a vigorar com a seguinte redação: </w:t>
      </w:r>
    </w:p>
    <w:p w14:paraId="508160C6" w14:textId="77777777" w:rsidR="00EF3485" w:rsidRDefault="00EF3485" w:rsidP="00EF3485">
      <w:pPr>
        <w:pStyle w:val="TextosemFormatao"/>
        <w:spacing w:after="240" w:line="360" w:lineRule="exact"/>
        <w:ind w:left="3261"/>
        <w:jc w:val="both"/>
        <w:rPr>
          <w:rFonts w:ascii="Times New Roman" w:eastAsia="MS Mincho" w:hAnsi="Times New Roman" w:cs="Times New Roman"/>
          <w:i/>
          <w:sz w:val="24"/>
        </w:rPr>
      </w:pPr>
      <w:r>
        <w:rPr>
          <w:rFonts w:ascii="Times New Roman" w:eastAsia="MS Mincho" w:hAnsi="Times New Roman" w:cs="Times New Roman"/>
          <w:i/>
          <w:sz w:val="24"/>
        </w:rPr>
        <w:t>“</w:t>
      </w:r>
      <w:r w:rsidRPr="00845966">
        <w:rPr>
          <w:rFonts w:ascii="Times New Roman" w:eastAsia="MS Mincho" w:hAnsi="Times New Roman" w:cs="Times New Roman"/>
          <w:b/>
          <w:i/>
          <w:sz w:val="24"/>
        </w:rPr>
        <w:t xml:space="preserve">Art. 165 </w:t>
      </w:r>
      <w:r>
        <w:rPr>
          <w:rFonts w:ascii="Times New Roman" w:eastAsia="MS Mincho" w:hAnsi="Times New Roman" w:cs="Times New Roman"/>
          <w:i/>
          <w:sz w:val="24"/>
        </w:rPr>
        <w:t>(...)</w:t>
      </w:r>
    </w:p>
    <w:p w14:paraId="0E6A7D3A" w14:textId="77777777" w:rsidR="00EF3485" w:rsidRDefault="00EF3485" w:rsidP="00EF3485">
      <w:pPr>
        <w:pStyle w:val="TextosemFormatao"/>
        <w:spacing w:after="240" w:line="360" w:lineRule="exact"/>
        <w:ind w:left="3261"/>
        <w:jc w:val="both"/>
        <w:rPr>
          <w:rFonts w:ascii="Times New Roman" w:eastAsia="MS Mincho" w:hAnsi="Times New Roman" w:cs="Times New Roman"/>
          <w:i/>
          <w:sz w:val="24"/>
        </w:rPr>
      </w:pPr>
      <w:r>
        <w:rPr>
          <w:rFonts w:ascii="Times New Roman" w:eastAsia="MS Mincho" w:hAnsi="Times New Roman" w:cs="Times New Roman"/>
          <w:i/>
          <w:sz w:val="24"/>
        </w:rPr>
        <w:t>(...)</w:t>
      </w:r>
    </w:p>
    <w:p w14:paraId="2652BFC3" w14:textId="77777777" w:rsidR="00EF3485" w:rsidRPr="0065524C" w:rsidRDefault="00EF3485" w:rsidP="00EF3485">
      <w:pPr>
        <w:pStyle w:val="TextosemFormatao"/>
        <w:spacing w:after="240" w:line="360" w:lineRule="exact"/>
        <w:ind w:left="3261"/>
        <w:jc w:val="both"/>
        <w:rPr>
          <w:rFonts w:ascii="Times New Roman" w:eastAsia="MS Mincho" w:hAnsi="Times New Roman" w:cs="Times New Roman"/>
          <w:i/>
          <w:sz w:val="24"/>
        </w:rPr>
      </w:pPr>
      <w:r w:rsidRPr="00845966">
        <w:rPr>
          <w:rFonts w:ascii="Times New Roman" w:eastAsia="MS Mincho" w:hAnsi="Times New Roman" w:cs="Times New Roman"/>
          <w:b/>
          <w:i/>
          <w:sz w:val="24"/>
        </w:rPr>
        <w:t>§ 3º</w:t>
      </w:r>
      <w:r>
        <w:rPr>
          <w:rFonts w:ascii="Times New Roman" w:eastAsia="MS Mincho" w:hAnsi="Times New Roman" w:cs="Times New Roman"/>
          <w:i/>
          <w:sz w:val="24"/>
        </w:rPr>
        <w:t xml:space="preserve"> </w:t>
      </w:r>
      <w:r w:rsidRPr="001200AA">
        <w:rPr>
          <w:rFonts w:ascii="Times New Roman" w:eastAsia="MS Mincho" w:hAnsi="Times New Roman" w:cs="Times New Roman"/>
          <w:i/>
          <w:sz w:val="24"/>
        </w:rPr>
        <w:t xml:space="preserve">Salvo exoneração, o afastamento do exercício acarretará a perda da gratificação prevista neste artigo, exceto, exclusivamente, por férias, licença-prêmio integral ou parcial, ou licença para tratamento de saúde, inclusive por acidente de trabalho, essa última por, no máximo, </w:t>
      </w:r>
      <w:r>
        <w:rPr>
          <w:rFonts w:ascii="Times New Roman" w:eastAsia="MS Mincho" w:hAnsi="Times New Roman" w:cs="Times New Roman"/>
          <w:i/>
          <w:sz w:val="24"/>
        </w:rPr>
        <w:t>90</w:t>
      </w:r>
      <w:r w:rsidRPr="001200AA">
        <w:rPr>
          <w:rFonts w:ascii="Times New Roman" w:eastAsia="MS Mincho" w:hAnsi="Times New Roman" w:cs="Times New Roman"/>
          <w:i/>
          <w:sz w:val="24"/>
        </w:rPr>
        <w:t xml:space="preserve"> (</w:t>
      </w:r>
      <w:r>
        <w:rPr>
          <w:rFonts w:ascii="Times New Roman" w:eastAsia="MS Mincho" w:hAnsi="Times New Roman" w:cs="Times New Roman"/>
          <w:i/>
          <w:sz w:val="24"/>
        </w:rPr>
        <w:t>noventa) dias, consecutivos ou não.”.</w:t>
      </w:r>
    </w:p>
    <w:p w14:paraId="4F935D54" w14:textId="77777777" w:rsidR="00EF3485" w:rsidRPr="005908F6" w:rsidRDefault="00EF3485" w:rsidP="00EF3485">
      <w:pPr>
        <w:pStyle w:val="TextosemFormatao"/>
        <w:spacing w:after="240" w:line="360" w:lineRule="exact"/>
        <w:jc w:val="both"/>
        <w:rPr>
          <w:rFonts w:ascii="Times New Roman" w:eastAsia="MS Mincho" w:hAnsi="Times New Roman" w:cs="Times New Roman"/>
          <w:sz w:val="24"/>
        </w:rPr>
      </w:pPr>
      <w:r w:rsidRPr="001200AA">
        <w:rPr>
          <w:rFonts w:ascii="Times New Roman" w:eastAsia="MS Mincho" w:hAnsi="Times New Roman" w:cs="Times New Roman"/>
          <w:b/>
          <w:sz w:val="24"/>
        </w:rPr>
        <w:t>Art. 2º</w:t>
      </w:r>
      <w:r w:rsidRPr="005908F6">
        <w:rPr>
          <w:rFonts w:ascii="Times New Roman" w:eastAsia="MS Mincho" w:hAnsi="Times New Roman" w:cs="Times New Roman"/>
          <w:sz w:val="24"/>
        </w:rPr>
        <w:t xml:space="preserve"> As despesas decorrentes da execução desta Lei</w:t>
      </w:r>
      <w:r>
        <w:rPr>
          <w:rFonts w:ascii="Times New Roman" w:eastAsia="MS Mincho" w:hAnsi="Times New Roman" w:cs="Times New Roman"/>
          <w:sz w:val="24"/>
        </w:rPr>
        <w:t xml:space="preserve"> Complementar</w:t>
      </w:r>
      <w:r w:rsidRPr="005908F6">
        <w:rPr>
          <w:rFonts w:ascii="Times New Roman" w:eastAsia="MS Mincho" w:hAnsi="Times New Roman" w:cs="Times New Roman"/>
          <w:sz w:val="24"/>
        </w:rPr>
        <w:t xml:space="preserve"> correrão por conta das dotações orçamentárias próprias, suplementadas se necessário.</w:t>
      </w:r>
    </w:p>
    <w:p w14:paraId="63702FE9" w14:textId="77777777" w:rsidR="00EF3485" w:rsidRPr="005908F6" w:rsidRDefault="00EF3485" w:rsidP="00EF3485">
      <w:pPr>
        <w:pStyle w:val="TextosemFormatao"/>
        <w:spacing w:after="240" w:line="360" w:lineRule="exact"/>
        <w:jc w:val="both"/>
        <w:rPr>
          <w:rFonts w:ascii="Times New Roman" w:eastAsia="MS Mincho" w:hAnsi="Times New Roman" w:cs="Times New Roman"/>
          <w:sz w:val="24"/>
        </w:rPr>
      </w:pPr>
      <w:r w:rsidRPr="001200AA">
        <w:rPr>
          <w:rFonts w:ascii="Times New Roman" w:eastAsia="MS Mincho" w:hAnsi="Times New Roman" w:cs="Times New Roman"/>
          <w:b/>
          <w:sz w:val="24"/>
        </w:rPr>
        <w:t>Art. 3º</w:t>
      </w:r>
      <w:r w:rsidRPr="005908F6">
        <w:rPr>
          <w:rFonts w:ascii="Times New Roman" w:eastAsia="MS Mincho" w:hAnsi="Times New Roman" w:cs="Times New Roman"/>
          <w:sz w:val="24"/>
        </w:rPr>
        <w:t xml:space="preserve"> Esta Lei entra em vigor na data de sua publicação.</w:t>
      </w:r>
    </w:p>
    <w:p w14:paraId="61EAFA06" w14:textId="77777777" w:rsidR="00EF3485" w:rsidRDefault="00EF3485" w:rsidP="00EF3485">
      <w:pPr>
        <w:rPr>
          <w:rFonts w:ascii="Times New Roman" w:hAnsi="Times New Roman" w:cs="Times New Roman"/>
          <w:sz w:val="24"/>
          <w:szCs w:val="24"/>
        </w:rPr>
      </w:pPr>
      <w:r>
        <w:rPr>
          <w:rFonts w:ascii="Times New Roman" w:hAnsi="Times New Roman" w:cs="Times New Roman"/>
          <w:sz w:val="24"/>
          <w:szCs w:val="24"/>
        </w:rPr>
        <w:br w:type="page"/>
      </w:r>
    </w:p>
    <w:p w14:paraId="0E86A61A" w14:textId="77777777" w:rsidR="00EF3485" w:rsidRPr="001200AA" w:rsidRDefault="00EF3485" w:rsidP="00EF3485">
      <w:pPr>
        <w:pStyle w:val="TextosemFormatao"/>
        <w:spacing w:after="240" w:line="360" w:lineRule="exact"/>
        <w:jc w:val="center"/>
        <w:rPr>
          <w:rFonts w:ascii="Times New Roman" w:eastAsia="MS Mincho" w:hAnsi="Times New Roman" w:cs="Times New Roman"/>
          <w:b/>
          <w:sz w:val="24"/>
        </w:rPr>
      </w:pPr>
      <w:r w:rsidRPr="001200AA">
        <w:rPr>
          <w:rFonts w:ascii="Times New Roman" w:eastAsia="MS Mincho" w:hAnsi="Times New Roman" w:cs="Times New Roman"/>
          <w:b/>
          <w:sz w:val="24"/>
        </w:rPr>
        <w:lastRenderedPageBreak/>
        <w:t>JUSTIFICATIVA</w:t>
      </w:r>
    </w:p>
    <w:p w14:paraId="5E9EF8D4" w14:textId="77777777" w:rsidR="00EF3485" w:rsidRDefault="00EF3485" w:rsidP="00EF3485">
      <w:pPr>
        <w:autoSpaceDE w:val="0"/>
        <w:autoSpaceDN w:val="0"/>
        <w:adjustRightInd w:val="0"/>
        <w:spacing w:line="360" w:lineRule="auto"/>
        <w:jc w:val="both"/>
        <w:rPr>
          <w:rFonts w:ascii="Times New Roman" w:hAnsi="Times New Roman" w:cs="Times New Roman"/>
          <w:bCs/>
          <w:sz w:val="24"/>
          <w:szCs w:val="24"/>
        </w:rPr>
      </w:pPr>
    </w:p>
    <w:p w14:paraId="13BCBE80" w14:textId="77777777" w:rsidR="00EF3485" w:rsidRPr="00845966" w:rsidRDefault="00EF3485" w:rsidP="00EF3485">
      <w:pPr>
        <w:pStyle w:val="TextosemFormatao"/>
        <w:spacing w:after="100" w:afterAutospacing="1" w:line="360" w:lineRule="auto"/>
        <w:ind w:firstLine="708"/>
        <w:jc w:val="both"/>
        <w:rPr>
          <w:rFonts w:ascii="Times New Roman" w:eastAsiaTheme="minorHAnsi" w:hAnsi="Times New Roman" w:cs="Times New Roman"/>
          <w:sz w:val="24"/>
          <w:lang w:eastAsia="en-US"/>
        </w:rPr>
      </w:pPr>
      <w:r w:rsidRPr="00845966">
        <w:rPr>
          <w:rFonts w:ascii="Times New Roman" w:eastAsiaTheme="minorHAnsi" w:hAnsi="Times New Roman" w:cs="Times New Roman"/>
          <w:sz w:val="24"/>
          <w:lang w:eastAsia="en-US"/>
        </w:rPr>
        <w:t>O presente Projeto de Lei Complementar tem como objetivo alterar o § 3º do Art. 165 da Lei nº 223, de 01 de agosto de 1974, que dispõe sobre o Estatuto dos Funcionários Públicos do Município de Itapevi, com a finalidade de ampliar o período de garantia da gratificação para servidores públicos afastados por acidente de trabalho.</w:t>
      </w:r>
    </w:p>
    <w:p w14:paraId="4AE4F40A" w14:textId="77777777" w:rsidR="00EF3485" w:rsidRPr="00845966" w:rsidRDefault="00EF3485" w:rsidP="00EF3485">
      <w:pPr>
        <w:pStyle w:val="TextosemFormatao"/>
        <w:spacing w:after="100" w:afterAutospacing="1" w:line="360" w:lineRule="auto"/>
        <w:ind w:firstLine="708"/>
        <w:jc w:val="both"/>
        <w:rPr>
          <w:rFonts w:ascii="Times New Roman" w:eastAsiaTheme="minorHAnsi" w:hAnsi="Times New Roman" w:cs="Times New Roman"/>
          <w:sz w:val="24"/>
          <w:lang w:eastAsia="en-US"/>
        </w:rPr>
      </w:pPr>
      <w:r w:rsidRPr="00845966">
        <w:rPr>
          <w:rFonts w:ascii="Times New Roman" w:eastAsiaTheme="minorHAnsi" w:hAnsi="Times New Roman" w:cs="Times New Roman"/>
          <w:sz w:val="24"/>
          <w:lang w:eastAsia="en-US"/>
        </w:rPr>
        <w:t>Atualmente, a legislação vigente estabelece que o servidor público afastado por acidente de trabalho perde a gratificação após 30 dias de afastamento, independentemente da gravidade do acidente ou do tempo necessário para sua recuperação. Essa limitação temporal pode gerar situações de injustiça, especialmente em casos em que o servidor necessita de um período maior de afastamento para se recuperar adequadamente, sem que isso implique na perda de uma parcela significativa de sua remuneração.</w:t>
      </w:r>
    </w:p>
    <w:p w14:paraId="4C72FEAC" w14:textId="77777777" w:rsidR="00EF3485" w:rsidRPr="00845966" w:rsidRDefault="00EF3485" w:rsidP="00EF3485">
      <w:pPr>
        <w:pStyle w:val="TextosemFormatao"/>
        <w:spacing w:after="100" w:afterAutospacing="1" w:line="360" w:lineRule="auto"/>
        <w:ind w:firstLine="708"/>
        <w:jc w:val="both"/>
        <w:rPr>
          <w:rFonts w:ascii="Times New Roman" w:eastAsiaTheme="minorHAnsi" w:hAnsi="Times New Roman" w:cs="Times New Roman"/>
          <w:sz w:val="24"/>
          <w:lang w:eastAsia="en-US"/>
        </w:rPr>
      </w:pPr>
      <w:r w:rsidRPr="00845966">
        <w:rPr>
          <w:rFonts w:ascii="Times New Roman" w:eastAsiaTheme="minorHAnsi" w:hAnsi="Times New Roman" w:cs="Times New Roman"/>
          <w:sz w:val="24"/>
          <w:lang w:eastAsia="en-US"/>
        </w:rPr>
        <w:t>A proposta em questão busca corrigir essa distorção, ampliando o período de garantia da gratificação para 90 dias em casos de afastamento por acidente de trabalho. Essa alteração visa assegurar que o servidor público que sofre acidente de trabalho não seja penalizado financeiramente por um período de afastamento superior a 30 dias, desde que esse afastamento seja comprovadamente necessário para sua recuperação. A nova redação mantém as exceções já previstas para férias, licença-prêmio e licença para tratamento de saúde, mas estende o prazo de garantia da gratificação para 90 dias nos casos de acidente de trabalho, garantindo que o servidor possa se recuperar sem a preocupação de perder sua gratificação.</w:t>
      </w:r>
    </w:p>
    <w:p w14:paraId="72A0DA8F" w14:textId="77777777" w:rsidR="00EF3485" w:rsidRPr="00845966" w:rsidRDefault="00EF3485" w:rsidP="00EF3485">
      <w:pPr>
        <w:pStyle w:val="TextosemFormatao"/>
        <w:spacing w:after="100" w:afterAutospacing="1" w:line="360" w:lineRule="auto"/>
        <w:ind w:firstLine="708"/>
        <w:jc w:val="both"/>
        <w:rPr>
          <w:rFonts w:ascii="Times New Roman" w:eastAsiaTheme="minorHAnsi" w:hAnsi="Times New Roman" w:cs="Times New Roman"/>
          <w:sz w:val="24"/>
          <w:lang w:eastAsia="en-US"/>
        </w:rPr>
      </w:pPr>
      <w:r w:rsidRPr="00845966">
        <w:rPr>
          <w:rFonts w:ascii="Times New Roman" w:eastAsiaTheme="minorHAnsi" w:hAnsi="Times New Roman" w:cs="Times New Roman"/>
          <w:sz w:val="24"/>
          <w:lang w:eastAsia="en-US"/>
        </w:rPr>
        <w:t>Essa mudança não apenas promove maior equidade e justiça no tratamento dos servidores públicos, mas também reforça o compromisso do Município de Itapevi com a saúde e o bem-estar de seus funcionários, reconhecendo a importância de um ambiente de trabalho seguro e de políticas que protejam aqueles que, porventura, venham a sofrer acidentes no exercício de suas funções.</w:t>
      </w:r>
    </w:p>
    <w:p w14:paraId="1FED8421" w14:textId="77777777" w:rsidR="00EF3485" w:rsidRPr="00845966" w:rsidRDefault="00EF3485" w:rsidP="00EF3485">
      <w:pPr>
        <w:pStyle w:val="TextosemFormatao"/>
        <w:spacing w:after="100" w:afterAutospacing="1" w:line="360" w:lineRule="auto"/>
        <w:ind w:firstLine="708"/>
        <w:jc w:val="both"/>
        <w:rPr>
          <w:rFonts w:ascii="Times New Roman" w:eastAsiaTheme="minorHAnsi" w:hAnsi="Times New Roman" w:cs="Times New Roman"/>
          <w:sz w:val="24"/>
          <w:lang w:eastAsia="en-US"/>
        </w:rPr>
      </w:pPr>
    </w:p>
    <w:p w14:paraId="75F2BA48" w14:textId="77777777" w:rsidR="00EF3485" w:rsidRPr="00845966" w:rsidRDefault="00EF3485" w:rsidP="00EF3485">
      <w:pPr>
        <w:pStyle w:val="TextosemFormatao"/>
        <w:spacing w:after="100" w:afterAutospacing="1" w:line="360" w:lineRule="auto"/>
        <w:ind w:firstLine="708"/>
        <w:jc w:val="both"/>
        <w:rPr>
          <w:rFonts w:ascii="Times New Roman" w:eastAsiaTheme="minorHAnsi" w:hAnsi="Times New Roman" w:cs="Times New Roman"/>
          <w:sz w:val="24"/>
          <w:lang w:eastAsia="en-US"/>
        </w:rPr>
      </w:pPr>
      <w:r w:rsidRPr="00845966">
        <w:rPr>
          <w:rFonts w:ascii="Times New Roman" w:eastAsiaTheme="minorHAnsi" w:hAnsi="Times New Roman" w:cs="Times New Roman"/>
          <w:sz w:val="24"/>
          <w:lang w:eastAsia="en-US"/>
        </w:rPr>
        <w:t>Além disso, a medida está alinhada com os princípios constitucionais da dignidade da pessoa humana e da valorização do trabalho, garantindo que os servidores públicos tenham seus direitos preservados, mesmo em situações adversas como a de um acidente de trabalho.</w:t>
      </w:r>
    </w:p>
    <w:p w14:paraId="7E9F842C" w14:textId="43AC3882" w:rsidR="00EF3485" w:rsidRPr="00EF3485" w:rsidRDefault="00EF3485" w:rsidP="00EF3485">
      <w:pPr>
        <w:pStyle w:val="TextosemFormatao"/>
        <w:spacing w:after="100" w:afterAutospacing="1" w:line="360" w:lineRule="auto"/>
        <w:ind w:firstLine="708"/>
        <w:jc w:val="both"/>
        <w:rPr>
          <w:rFonts w:ascii="Times New Roman" w:hAnsi="Times New Roman" w:cs="Times New Roman"/>
          <w:sz w:val="24"/>
        </w:rPr>
      </w:pPr>
      <w:r w:rsidRPr="00845966">
        <w:rPr>
          <w:rFonts w:ascii="Times New Roman" w:eastAsiaTheme="minorHAnsi" w:hAnsi="Times New Roman" w:cs="Times New Roman"/>
          <w:sz w:val="24"/>
          <w:lang w:eastAsia="en-US"/>
        </w:rPr>
        <w:t>Diante do exposto, justifica-se plenamente a aprovação do presente Projeto de Lei Complementar, que visa assegurar maior proteção aos servidores públicos do Município de Itapevi, garantindo-lhes condições dignas de recuperação em casos de acidente de trabalho.</w:t>
      </w:r>
    </w:p>
    <w:sectPr w:rsidR="00EF3485" w:rsidRPr="00EF3485" w:rsidSect="00D31336">
      <w:headerReference w:type="even" r:id="rId8"/>
      <w:headerReference w:type="default" r:id="rId9"/>
      <w:headerReference w:type="first" r:id="rId10"/>
      <w:pgSz w:w="11906" w:h="16838" w:code="9"/>
      <w:pgMar w:top="2835" w:right="851" w:bottom="2269" w:left="1701" w:header="2835"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1A7EDE" w14:textId="77777777" w:rsidR="00EE4473" w:rsidRDefault="00EE4473">
      <w:pPr>
        <w:spacing w:after="0" w:line="240" w:lineRule="auto"/>
      </w:pPr>
      <w:r>
        <w:separator/>
      </w:r>
    </w:p>
  </w:endnote>
  <w:endnote w:type="continuationSeparator" w:id="0">
    <w:p w14:paraId="4F444B4C" w14:textId="77777777" w:rsidR="00EE4473" w:rsidRDefault="00EE4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E3830A" w14:textId="77777777" w:rsidR="00EE4473" w:rsidRDefault="00EE4473">
      <w:pPr>
        <w:spacing w:after="0" w:line="240" w:lineRule="auto"/>
      </w:pPr>
      <w:r>
        <w:separator/>
      </w:r>
    </w:p>
  </w:footnote>
  <w:footnote w:type="continuationSeparator" w:id="0">
    <w:p w14:paraId="607F8827" w14:textId="77777777" w:rsidR="00EE4473" w:rsidRDefault="00EE44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25FB5" w14:textId="77777777" w:rsidR="004B11B6" w:rsidRDefault="00000000">
    <w:pPr>
      <w:pStyle w:val="Cabealho"/>
    </w:pPr>
    <w:r>
      <w:rPr>
        <w:noProof/>
      </w:rPr>
      <w:pict w14:anchorId="61009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3073"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69676" w14:textId="77777777" w:rsidR="004B11B6" w:rsidRDefault="004005D8">
    <w:pPr>
      <w:pStyle w:val="Cabealho"/>
    </w:pPr>
    <w:r>
      <w:rPr>
        <w:noProof/>
        <w:lang w:eastAsia="pt-BR"/>
      </w:rPr>
      <w:drawing>
        <wp:anchor distT="0" distB="0" distL="114300" distR="114300" simplePos="0" relativeHeight="251660288" behindDoc="1" locked="0" layoutInCell="1" allowOverlap="1" wp14:anchorId="6E50DD36" wp14:editId="6EA368F3">
          <wp:simplePos x="0" y="0"/>
          <wp:positionH relativeFrom="page">
            <wp:align>center</wp:align>
          </wp:positionH>
          <wp:positionV relativeFrom="paragraph">
            <wp:posOffset>-1518285</wp:posOffset>
          </wp:positionV>
          <wp:extent cx="7545070" cy="10193760"/>
          <wp:effectExtent l="0" t="0" r="0" b="0"/>
          <wp:wrapNone/>
          <wp:docPr id="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01061" name="Imagem 1409754164"/>
                  <pic:cNvPicPr/>
                </pic:nvPicPr>
                <pic:blipFill>
                  <a:blip r:embed="rId1">
                    <a:extLst>
                      <a:ext uri="{28A0092B-C50C-407E-A947-70E740481C1C}">
                        <a14:useLocalDpi xmlns:a14="http://schemas.microsoft.com/office/drawing/2010/main" val="0"/>
                      </a:ext>
                    </a:extLst>
                  </a:blip>
                  <a:stretch>
                    <a:fillRect/>
                  </a:stretch>
                </pic:blipFill>
                <pic:spPr>
                  <a:xfrm>
                    <a:off x="0" y="0"/>
                    <a:ext cx="7545070" cy="101937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8E35D" w14:textId="77777777" w:rsidR="004B11B6" w:rsidRDefault="00000000">
    <w:pPr>
      <w:pStyle w:val="Cabealho"/>
    </w:pPr>
    <w:r>
      <w:rPr>
        <w:noProof/>
      </w:rPr>
      <w:pict w14:anchorId="475085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3074" type="#_x0000_t75" style="position:absolute;margin-left:0;margin-top:0;width:595.45pt;height:841.9pt;z-index:-251658240;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700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8BE7834"/>
    <w:multiLevelType w:val="hybridMultilevel"/>
    <w:tmpl w:val="2CFE852E"/>
    <w:lvl w:ilvl="0" w:tplc="DF10E2FC">
      <w:start w:val="1"/>
      <w:numFmt w:val="decimal"/>
      <w:lvlText w:val="%1."/>
      <w:lvlJc w:val="left"/>
      <w:pPr>
        <w:ind w:left="720" w:hanging="360"/>
      </w:pPr>
    </w:lvl>
    <w:lvl w:ilvl="1" w:tplc="9468D294" w:tentative="1">
      <w:start w:val="1"/>
      <w:numFmt w:val="lowerLetter"/>
      <w:lvlText w:val="%2."/>
      <w:lvlJc w:val="left"/>
      <w:pPr>
        <w:ind w:left="1440" w:hanging="360"/>
      </w:pPr>
    </w:lvl>
    <w:lvl w:ilvl="2" w:tplc="0C881310" w:tentative="1">
      <w:start w:val="1"/>
      <w:numFmt w:val="lowerRoman"/>
      <w:lvlText w:val="%3."/>
      <w:lvlJc w:val="right"/>
      <w:pPr>
        <w:ind w:left="2160" w:hanging="180"/>
      </w:pPr>
    </w:lvl>
    <w:lvl w:ilvl="3" w:tplc="A10A8A30" w:tentative="1">
      <w:start w:val="1"/>
      <w:numFmt w:val="decimal"/>
      <w:lvlText w:val="%4."/>
      <w:lvlJc w:val="left"/>
      <w:pPr>
        <w:ind w:left="2880" w:hanging="360"/>
      </w:pPr>
    </w:lvl>
    <w:lvl w:ilvl="4" w:tplc="EFC2A37E" w:tentative="1">
      <w:start w:val="1"/>
      <w:numFmt w:val="lowerLetter"/>
      <w:lvlText w:val="%5."/>
      <w:lvlJc w:val="left"/>
      <w:pPr>
        <w:ind w:left="3600" w:hanging="360"/>
      </w:pPr>
    </w:lvl>
    <w:lvl w:ilvl="5" w:tplc="C2885450" w:tentative="1">
      <w:start w:val="1"/>
      <w:numFmt w:val="lowerRoman"/>
      <w:lvlText w:val="%6."/>
      <w:lvlJc w:val="right"/>
      <w:pPr>
        <w:ind w:left="4320" w:hanging="180"/>
      </w:pPr>
    </w:lvl>
    <w:lvl w:ilvl="6" w:tplc="01FEA8A2" w:tentative="1">
      <w:start w:val="1"/>
      <w:numFmt w:val="decimal"/>
      <w:lvlText w:val="%7."/>
      <w:lvlJc w:val="left"/>
      <w:pPr>
        <w:ind w:left="5040" w:hanging="360"/>
      </w:pPr>
    </w:lvl>
    <w:lvl w:ilvl="7" w:tplc="DE0CECA2" w:tentative="1">
      <w:start w:val="1"/>
      <w:numFmt w:val="lowerLetter"/>
      <w:lvlText w:val="%8."/>
      <w:lvlJc w:val="left"/>
      <w:pPr>
        <w:ind w:left="5760" w:hanging="360"/>
      </w:pPr>
    </w:lvl>
    <w:lvl w:ilvl="8" w:tplc="C8ACE566" w:tentative="1">
      <w:start w:val="1"/>
      <w:numFmt w:val="lowerRoman"/>
      <w:lvlText w:val="%9."/>
      <w:lvlJc w:val="right"/>
      <w:pPr>
        <w:ind w:left="6480" w:hanging="180"/>
      </w:pPr>
    </w:lvl>
  </w:abstractNum>
  <w:abstractNum w:abstractNumId="2" w15:restartNumberingAfterBreak="0">
    <w:nsid w:val="32ED59E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C010277"/>
    <w:multiLevelType w:val="hybridMultilevel"/>
    <w:tmpl w:val="8E863694"/>
    <w:lvl w:ilvl="0" w:tplc="2F4A9FDA">
      <w:start w:val="1"/>
      <w:numFmt w:val="decimal"/>
      <w:lvlText w:val="%1."/>
      <w:lvlJc w:val="left"/>
      <w:pPr>
        <w:ind w:left="360" w:hanging="360"/>
      </w:pPr>
    </w:lvl>
    <w:lvl w:ilvl="1" w:tplc="DBBA1FBC" w:tentative="1">
      <w:start w:val="1"/>
      <w:numFmt w:val="lowerLetter"/>
      <w:lvlText w:val="%2."/>
      <w:lvlJc w:val="left"/>
      <w:pPr>
        <w:ind w:left="1080" w:hanging="360"/>
      </w:pPr>
    </w:lvl>
    <w:lvl w:ilvl="2" w:tplc="E17025FC" w:tentative="1">
      <w:start w:val="1"/>
      <w:numFmt w:val="lowerRoman"/>
      <w:lvlText w:val="%3."/>
      <w:lvlJc w:val="right"/>
      <w:pPr>
        <w:ind w:left="1800" w:hanging="180"/>
      </w:pPr>
    </w:lvl>
    <w:lvl w:ilvl="3" w:tplc="8D28E14C" w:tentative="1">
      <w:start w:val="1"/>
      <w:numFmt w:val="decimal"/>
      <w:lvlText w:val="%4."/>
      <w:lvlJc w:val="left"/>
      <w:pPr>
        <w:ind w:left="2520" w:hanging="360"/>
      </w:pPr>
    </w:lvl>
    <w:lvl w:ilvl="4" w:tplc="B9A230AC" w:tentative="1">
      <w:start w:val="1"/>
      <w:numFmt w:val="lowerLetter"/>
      <w:lvlText w:val="%5."/>
      <w:lvlJc w:val="left"/>
      <w:pPr>
        <w:ind w:left="3240" w:hanging="360"/>
      </w:pPr>
    </w:lvl>
    <w:lvl w:ilvl="5" w:tplc="B636E396" w:tentative="1">
      <w:start w:val="1"/>
      <w:numFmt w:val="lowerRoman"/>
      <w:lvlText w:val="%6."/>
      <w:lvlJc w:val="right"/>
      <w:pPr>
        <w:ind w:left="3960" w:hanging="180"/>
      </w:pPr>
    </w:lvl>
    <w:lvl w:ilvl="6" w:tplc="75302F34" w:tentative="1">
      <w:start w:val="1"/>
      <w:numFmt w:val="decimal"/>
      <w:lvlText w:val="%7."/>
      <w:lvlJc w:val="left"/>
      <w:pPr>
        <w:ind w:left="4680" w:hanging="360"/>
      </w:pPr>
    </w:lvl>
    <w:lvl w:ilvl="7" w:tplc="6590AD4A" w:tentative="1">
      <w:start w:val="1"/>
      <w:numFmt w:val="lowerLetter"/>
      <w:lvlText w:val="%8."/>
      <w:lvlJc w:val="left"/>
      <w:pPr>
        <w:ind w:left="5400" w:hanging="360"/>
      </w:pPr>
    </w:lvl>
    <w:lvl w:ilvl="8" w:tplc="98F47388" w:tentative="1">
      <w:start w:val="1"/>
      <w:numFmt w:val="lowerRoman"/>
      <w:lvlText w:val="%9."/>
      <w:lvlJc w:val="right"/>
      <w:pPr>
        <w:ind w:left="6120" w:hanging="180"/>
      </w:pPr>
    </w:lvl>
  </w:abstractNum>
  <w:abstractNum w:abstractNumId="4" w15:restartNumberingAfterBreak="0">
    <w:nsid w:val="5E5E0B85"/>
    <w:multiLevelType w:val="hybridMultilevel"/>
    <w:tmpl w:val="2CFE852E"/>
    <w:lvl w:ilvl="0" w:tplc="287458C4">
      <w:start w:val="1"/>
      <w:numFmt w:val="decimal"/>
      <w:lvlText w:val="%1."/>
      <w:lvlJc w:val="left"/>
      <w:pPr>
        <w:ind w:left="720" w:hanging="360"/>
      </w:pPr>
    </w:lvl>
    <w:lvl w:ilvl="1" w:tplc="AFD06888" w:tentative="1">
      <w:start w:val="1"/>
      <w:numFmt w:val="lowerLetter"/>
      <w:lvlText w:val="%2."/>
      <w:lvlJc w:val="left"/>
      <w:pPr>
        <w:ind w:left="1440" w:hanging="360"/>
      </w:pPr>
    </w:lvl>
    <w:lvl w:ilvl="2" w:tplc="B87E5952" w:tentative="1">
      <w:start w:val="1"/>
      <w:numFmt w:val="lowerRoman"/>
      <w:lvlText w:val="%3."/>
      <w:lvlJc w:val="right"/>
      <w:pPr>
        <w:ind w:left="2160" w:hanging="180"/>
      </w:pPr>
    </w:lvl>
    <w:lvl w:ilvl="3" w:tplc="10AA93C2" w:tentative="1">
      <w:start w:val="1"/>
      <w:numFmt w:val="decimal"/>
      <w:lvlText w:val="%4."/>
      <w:lvlJc w:val="left"/>
      <w:pPr>
        <w:ind w:left="2880" w:hanging="360"/>
      </w:pPr>
    </w:lvl>
    <w:lvl w:ilvl="4" w:tplc="F87418D6" w:tentative="1">
      <w:start w:val="1"/>
      <w:numFmt w:val="lowerLetter"/>
      <w:lvlText w:val="%5."/>
      <w:lvlJc w:val="left"/>
      <w:pPr>
        <w:ind w:left="3600" w:hanging="360"/>
      </w:pPr>
    </w:lvl>
    <w:lvl w:ilvl="5" w:tplc="16E82F8A" w:tentative="1">
      <w:start w:val="1"/>
      <w:numFmt w:val="lowerRoman"/>
      <w:lvlText w:val="%6."/>
      <w:lvlJc w:val="right"/>
      <w:pPr>
        <w:ind w:left="4320" w:hanging="180"/>
      </w:pPr>
    </w:lvl>
    <w:lvl w:ilvl="6" w:tplc="42B6B0C0" w:tentative="1">
      <w:start w:val="1"/>
      <w:numFmt w:val="decimal"/>
      <w:lvlText w:val="%7."/>
      <w:lvlJc w:val="left"/>
      <w:pPr>
        <w:ind w:left="5040" w:hanging="360"/>
      </w:pPr>
    </w:lvl>
    <w:lvl w:ilvl="7" w:tplc="352423B2" w:tentative="1">
      <w:start w:val="1"/>
      <w:numFmt w:val="lowerLetter"/>
      <w:lvlText w:val="%8."/>
      <w:lvlJc w:val="left"/>
      <w:pPr>
        <w:ind w:left="5760" w:hanging="360"/>
      </w:pPr>
    </w:lvl>
    <w:lvl w:ilvl="8" w:tplc="CED8E024" w:tentative="1">
      <w:start w:val="1"/>
      <w:numFmt w:val="lowerRoman"/>
      <w:lvlText w:val="%9."/>
      <w:lvlJc w:val="right"/>
      <w:pPr>
        <w:ind w:left="6480" w:hanging="180"/>
      </w:pPr>
    </w:lvl>
  </w:abstractNum>
  <w:num w:numId="1" w16cid:durableId="470758005">
    <w:abstractNumId w:val="4"/>
  </w:num>
  <w:num w:numId="2" w16cid:durableId="297539788">
    <w:abstractNumId w:val="1"/>
  </w:num>
  <w:num w:numId="3" w16cid:durableId="1048530482">
    <w:abstractNumId w:val="2"/>
  </w:num>
  <w:num w:numId="4" w16cid:durableId="1958096236">
    <w:abstractNumId w:val="0"/>
  </w:num>
  <w:num w:numId="5" w16cid:durableId="19518604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3075"/>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1B6"/>
    <w:rsid w:val="000008AE"/>
    <w:rsid w:val="000039F4"/>
    <w:rsid w:val="00004589"/>
    <w:rsid w:val="0001353D"/>
    <w:rsid w:val="00034BC5"/>
    <w:rsid w:val="000638AE"/>
    <w:rsid w:val="000642D8"/>
    <w:rsid w:val="00065BF6"/>
    <w:rsid w:val="00076E21"/>
    <w:rsid w:val="000A2F6C"/>
    <w:rsid w:val="000E2164"/>
    <w:rsid w:val="000E51F0"/>
    <w:rsid w:val="001367E3"/>
    <w:rsid w:val="00140DBB"/>
    <w:rsid w:val="0014109B"/>
    <w:rsid w:val="001565C9"/>
    <w:rsid w:val="001605C4"/>
    <w:rsid w:val="001874C4"/>
    <w:rsid w:val="001B3EBC"/>
    <w:rsid w:val="00202527"/>
    <w:rsid w:val="002262F6"/>
    <w:rsid w:val="002272AF"/>
    <w:rsid w:val="00243B9F"/>
    <w:rsid w:val="002501C3"/>
    <w:rsid w:val="00281321"/>
    <w:rsid w:val="002B5122"/>
    <w:rsid w:val="0030252F"/>
    <w:rsid w:val="00327497"/>
    <w:rsid w:val="003307C4"/>
    <w:rsid w:val="0036427B"/>
    <w:rsid w:val="003677FC"/>
    <w:rsid w:val="00386EEF"/>
    <w:rsid w:val="00395256"/>
    <w:rsid w:val="003A68AD"/>
    <w:rsid w:val="003C77B2"/>
    <w:rsid w:val="003D11E6"/>
    <w:rsid w:val="003D1E3C"/>
    <w:rsid w:val="003E0C06"/>
    <w:rsid w:val="00400270"/>
    <w:rsid w:val="004005D8"/>
    <w:rsid w:val="004056EB"/>
    <w:rsid w:val="00426C62"/>
    <w:rsid w:val="00430659"/>
    <w:rsid w:val="004B11B6"/>
    <w:rsid w:val="004F5BDD"/>
    <w:rsid w:val="004F7A14"/>
    <w:rsid w:val="00533B93"/>
    <w:rsid w:val="0055570B"/>
    <w:rsid w:val="005639AB"/>
    <w:rsid w:val="00564CD7"/>
    <w:rsid w:val="0058508C"/>
    <w:rsid w:val="00585C0C"/>
    <w:rsid w:val="005959C7"/>
    <w:rsid w:val="00597755"/>
    <w:rsid w:val="005979F0"/>
    <w:rsid w:val="005A7704"/>
    <w:rsid w:val="005F4268"/>
    <w:rsid w:val="00636A4F"/>
    <w:rsid w:val="00672462"/>
    <w:rsid w:val="006744B7"/>
    <w:rsid w:val="006C111C"/>
    <w:rsid w:val="006D314B"/>
    <w:rsid w:val="006D4322"/>
    <w:rsid w:val="006F0BA0"/>
    <w:rsid w:val="007000C2"/>
    <w:rsid w:val="007029C5"/>
    <w:rsid w:val="00722F88"/>
    <w:rsid w:val="007320E9"/>
    <w:rsid w:val="008124BB"/>
    <w:rsid w:val="00870521"/>
    <w:rsid w:val="008E3BAE"/>
    <w:rsid w:val="00911858"/>
    <w:rsid w:val="009141A5"/>
    <w:rsid w:val="00915907"/>
    <w:rsid w:val="00925314"/>
    <w:rsid w:val="00934DC4"/>
    <w:rsid w:val="00947237"/>
    <w:rsid w:val="009522A9"/>
    <w:rsid w:val="00984FAB"/>
    <w:rsid w:val="00992C9B"/>
    <w:rsid w:val="009C74C2"/>
    <w:rsid w:val="009D1081"/>
    <w:rsid w:val="009F009E"/>
    <w:rsid w:val="009F1BB0"/>
    <w:rsid w:val="00A16975"/>
    <w:rsid w:val="00A34767"/>
    <w:rsid w:val="00A36037"/>
    <w:rsid w:val="00A430EF"/>
    <w:rsid w:val="00A454C7"/>
    <w:rsid w:val="00A86C58"/>
    <w:rsid w:val="00AE12CF"/>
    <w:rsid w:val="00AE1302"/>
    <w:rsid w:val="00B31615"/>
    <w:rsid w:val="00B423AE"/>
    <w:rsid w:val="00B62BB5"/>
    <w:rsid w:val="00B718CD"/>
    <w:rsid w:val="00B77719"/>
    <w:rsid w:val="00B91DC3"/>
    <w:rsid w:val="00BA410E"/>
    <w:rsid w:val="00BB799F"/>
    <w:rsid w:val="00BB7C02"/>
    <w:rsid w:val="00BC229F"/>
    <w:rsid w:val="00BC69F5"/>
    <w:rsid w:val="00BD4B13"/>
    <w:rsid w:val="00BD640C"/>
    <w:rsid w:val="00BE3FAD"/>
    <w:rsid w:val="00C020B1"/>
    <w:rsid w:val="00C25F0D"/>
    <w:rsid w:val="00C375EE"/>
    <w:rsid w:val="00C440E9"/>
    <w:rsid w:val="00C62D92"/>
    <w:rsid w:val="00C84443"/>
    <w:rsid w:val="00CB021B"/>
    <w:rsid w:val="00CC7805"/>
    <w:rsid w:val="00CF2272"/>
    <w:rsid w:val="00D162DE"/>
    <w:rsid w:val="00D26633"/>
    <w:rsid w:val="00D27B35"/>
    <w:rsid w:val="00D31336"/>
    <w:rsid w:val="00D97AD9"/>
    <w:rsid w:val="00DA59C3"/>
    <w:rsid w:val="00DD3F1D"/>
    <w:rsid w:val="00DD4208"/>
    <w:rsid w:val="00E22A39"/>
    <w:rsid w:val="00E44D9F"/>
    <w:rsid w:val="00E7394E"/>
    <w:rsid w:val="00E86C3D"/>
    <w:rsid w:val="00EB339F"/>
    <w:rsid w:val="00ED0317"/>
    <w:rsid w:val="00EE4473"/>
    <w:rsid w:val="00EF3485"/>
    <w:rsid w:val="00F261CF"/>
    <w:rsid w:val="00F31551"/>
    <w:rsid w:val="00F53336"/>
    <w:rsid w:val="00F60190"/>
    <w:rsid w:val="00F71511"/>
    <w:rsid w:val="00F71783"/>
    <w:rsid w:val="00F76529"/>
    <w:rsid w:val="00F82912"/>
    <w:rsid w:val="00FB19B0"/>
    <w:rsid w:val="00FC339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2"/>
    </o:shapelayout>
  </w:shapeDefaults>
  <w:decimalSymbol w:val=","/>
  <w:listSeparator w:val=";"/>
  <w14:docId w14:val="053FC735"/>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62F6"/>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NormalWeb">
    <w:name w:val="Normal (Web)"/>
    <w:basedOn w:val="Normal"/>
    <w:uiPriority w:val="99"/>
    <w:unhideWhenUsed/>
    <w:rsid w:val="0039525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39525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95256"/>
    <w:rPr>
      <w:rFonts w:ascii="Segoe UI" w:hAnsi="Segoe UI" w:cs="Segoe UI"/>
      <w:sz w:val="18"/>
      <w:szCs w:val="18"/>
    </w:rPr>
  </w:style>
  <w:style w:type="table" w:styleId="Tabelacomgrade">
    <w:name w:val="Table Grid"/>
    <w:basedOn w:val="Tabelanormal"/>
    <w:uiPriority w:val="39"/>
    <w:rsid w:val="00952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339F"/>
    <w:pPr>
      <w:autoSpaceDE w:val="0"/>
      <w:autoSpaceDN w:val="0"/>
      <w:adjustRightInd w:val="0"/>
      <w:spacing w:after="0" w:line="240" w:lineRule="auto"/>
    </w:pPr>
    <w:rPr>
      <w:rFonts w:ascii="Times New Roman" w:hAnsi="Times New Roman" w:cs="Times New Roman"/>
      <w:color w:val="000000"/>
      <w:sz w:val="24"/>
      <w:szCs w:val="24"/>
    </w:rPr>
  </w:style>
  <w:style w:type="paragraph" w:styleId="PargrafodaLista">
    <w:name w:val="List Paragraph"/>
    <w:basedOn w:val="Normal"/>
    <w:uiPriority w:val="34"/>
    <w:qFormat/>
    <w:rsid w:val="009F1BB0"/>
    <w:pPr>
      <w:ind w:left="720"/>
      <w:contextualSpacing/>
    </w:pPr>
  </w:style>
  <w:style w:type="paragraph" w:styleId="SemEspaamento">
    <w:name w:val="No Spacing"/>
    <w:uiPriority w:val="1"/>
    <w:qFormat/>
    <w:rsid w:val="00A86C58"/>
    <w:pPr>
      <w:spacing w:after="0" w:line="240" w:lineRule="auto"/>
    </w:pPr>
  </w:style>
  <w:style w:type="character" w:styleId="Hyperlink">
    <w:name w:val="Hyperlink"/>
    <w:basedOn w:val="Fontepargpadro"/>
    <w:uiPriority w:val="99"/>
    <w:unhideWhenUsed/>
    <w:rsid w:val="00F76529"/>
    <w:rPr>
      <w:color w:val="0563C1" w:themeColor="hyperlink"/>
      <w:u w:val="single"/>
    </w:rPr>
  </w:style>
  <w:style w:type="paragraph" w:styleId="TextosemFormatao">
    <w:name w:val="Plain Text"/>
    <w:basedOn w:val="Normal"/>
    <w:link w:val="TextosemFormataoChar"/>
    <w:rsid w:val="004F7A14"/>
    <w:pPr>
      <w:spacing w:after="0" w:line="240" w:lineRule="auto"/>
    </w:pPr>
    <w:rPr>
      <w:rFonts w:ascii="Courier New" w:eastAsia="Calibri" w:hAnsi="Courier New" w:cs="Arial"/>
      <w:bCs/>
      <w:sz w:val="20"/>
      <w:szCs w:val="24"/>
      <w:lang w:eastAsia="pt-BR"/>
    </w:rPr>
  </w:style>
  <w:style w:type="character" w:customStyle="1" w:styleId="TextosemFormataoChar">
    <w:name w:val="Texto sem Formatação Char"/>
    <w:basedOn w:val="Fontepargpadro"/>
    <w:link w:val="TextosemFormatao"/>
    <w:rsid w:val="004F7A14"/>
    <w:rPr>
      <w:rFonts w:ascii="Courier New" w:eastAsia="Calibri" w:hAnsi="Courier New" w:cs="Arial"/>
      <w:bCs/>
      <w:sz w:val="20"/>
      <w:szCs w:val="24"/>
      <w:lang w:eastAsia="pt-BR"/>
    </w:rPr>
  </w:style>
  <w:style w:type="character" w:styleId="Forte">
    <w:name w:val="Strong"/>
    <w:basedOn w:val="Fontepargpadro"/>
    <w:uiPriority w:val="22"/>
    <w:qFormat/>
    <w:rsid w:val="007029C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356A76-E755-4CE6-A925-7EDE50F5A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5</Pages>
  <Words>899</Words>
  <Characters>4860</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Rafael Augusto Sasaki Neves</cp:lastModifiedBy>
  <cp:revision>10</cp:revision>
  <cp:lastPrinted>2021-07-01T13:05:00Z</cp:lastPrinted>
  <dcterms:created xsi:type="dcterms:W3CDTF">2025-04-01T18:56:00Z</dcterms:created>
  <dcterms:modified xsi:type="dcterms:W3CDTF">2025-04-10T16:03:00Z</dcterms:modified>
</cp:coreProperties>
</file>