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590" w:rsidRDefault="00340F56" w:rsidP="00340F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Projeto de Lei Nº </w:t>
      </w:r>
      <w:r w:rsidR="008C7B63">
        <w:rPr>
          <w:rFonts w:ascii="Times New Roman" w:hAnsi="Times New Roman" w:cs="Times New Roman"/>
          <w:b/>
          <w:sz w:val="24"/>
          <w:szCs w:val="24"/>
        </w:rPr>
        <w:t>1</w:t>
      </w:r>
      <w:r w:rsidR="003A56F5">
        <w:rPr>
          <w:rFonts w:ascii="Times New Roman" w:hAnsi="Times New Roman" w:cs="Times New Roman"/>
          <w:b/>
          <w:sz w:val="24"/>
          <w:szCs w:val="24"/>
        </w:rPr>
        <w:t>2</w:t>
      </w:r>
      <w:r w:rsidR="008C7B63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/2024</w:t>
      </w:r>
    </w:p>
    <w:p w:rsidR="00340F56" w:rsidRDefault="00340F56" w:rsidP="00340F56">
      <w:pPr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F56" w:rsidRDefault="00340F56" w:rsidP="00340F56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340F5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Declara </w:t>
      </w:r>
      <w:r w:rsidR="00166326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Utilidade Pública a </w:t>
      </w:r>
      <w:r w:rsidR="003A56F5">
        <w:rPr>
          <w:rFonts w:ascii="Times New Roman" w:hAnsi="Times New Roman" w:cs="Times New Roman"/>
          <w:sz w:val="24"/>
          <w:szCs w:val="24"/>
        </w:rPr>
        <w:t>Associação Raquetes Para a Vida</w:t>
      </w:r>
      <w:r w:rsidRPr="00340F56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0F56" w:rsidRDefault="00340F56" w:rsidP="00340F56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:rsidR="00340F56" w:rsidRDefault="00340F56" w:rsidP="00340F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8C7B63">
        <w:rPr>
          <w:rFonts w:ascii="Times New Roman" w:hAnsi="Times New Roman" w:cs="Times New Roman"/>
          <w:sz w:val="24"/>
          <w:szCs w:val="24"/>
        </w:rPr>
        <w:t>CÂMARA MUNICIPAL DE ITAPEVI</w:t>
      </w:r>
      <w:r>
        <w:rPr>
          <w:rFonts w:ascii="Times New Roman" w:hAnsi="Times New Roman" w:cs="Times New Roman"/>
          <w:sz w:val="24"/>
          <w:szCs w:val="24"/>
        </w:rPr>
        <w:t xml:space="preserve"> no uso </w:t>
      </w:r>
      <w:r w:rsidR="008C7B63">
        <w:rPr>
          <w:rFonts w:ascii="Times New Roman" w:hAnsi="Times New Roman" w:cs="Times New Roman"/>
          <w:sz w:val="24"/>
          <w:szCs w:val="24"/>
        </w:rPr>
        <w:t>de suas atribuições legais, APROVA:</w:t>
      </w:r>
    </w:p>
    <w:p w:rsidR="008C7B63" w:rsidRDefault="008C7B63" w:rsidP="008C7B63">
      <w:pPr>
        <w:jc w:val="both"/>
        <w:rPr>
          <w:rFonts w:ascii="Times New Roman" w:hAnsi="Times New Roman" w:cs="Times New Roman"/>
          <w:sz w:val="24"/>
          <w:szCs w:val="24"/>
        </w:rPr>
      </w:pPr>
      <w:r w:rsidRPr="008C7B63">
        <w:rPr>
          <w:rFonts w:ascii="Times New Roman" w:hAnsi="Times New Roman" w:cs="Times New Roman"/>
          <w:b/>
          <w:sz w:val="24"/>
          <w:szCs w:val="24"/>
        </w:rPr>
        <w:t>Art. 1º</w:t>
      </w:r>
      <w:r w:rsidRPr="008C7B63">
        <w:rPr>
          <w:rFonts w:ascii="Times New Roman" w:hAnsi="Times New Roman" w:cs="Times New Roman"/>
          <w:sz w:val="24"/>
          <w:szCs w:val="24"/>
        </w:rPr>
        <w:t xml:space="preserve"> Fica declarada de utilidade pública a Associação </w:t>
      </w:r>
      <w:r w:rsidR="003A56F5">
        <w:rPr>
          <w:rFonts w:ascii="Times New Roman" w:hAnsi="Times New Roman" w:cs="Times New Roman"/>
          <w:sz w:val="24"/>
          <w:szCs w:val="24"/>
        </w:rPr>
        <w:t>Projeto Raquetes para a Vida</w:t>
      </w:r>
      <w:r w:rsidRPr="008C7B63">
        <w:rPr>
          <w:rFonts w:ascii="Times New Roman" w:hAnsi="Times New Roman" w:cs="Times New Roman"/>
          <w:sz w:val="24"/>
          <w:szCs w:val="24"/>
        </w:rPr>
        <w:t xml:space="preserve">, associação de natureza jurídica privada, inscrita no CNPJ sob o número </w:t>
      </w:r>
      <w:r w:rsidR="003A56F5">
        <w:rPr>
          <w:rFonts w:ascii="Times New Roman" w:hAnsi="Times New Roman" w:cs="Times New Roman"/>
          <w:sz w:val="24"/>
          <w:szCs w:val="24"/>
        </w:rPr>
        <w:t>47.618/0001-17</w:t>
      </w:r>
      <w:r w:rsidRPr="008C7B63">
        <w:rPr>
          <w:rFonts w:ascii="Times New Roman" w:hAnsi="Times New Roman" w:cs="Times New Roman"/>
          <w:sz w:val="24"/>
          <w:szCs w:val="24"/>
        </w:rPr>
        <w:t xml:space="preserve">, situada à </w:t>
      </w:r>
      <w:r>
        <w:rPr>
          <w:rFonts w:ascii="Times New Roman" w:hAnsi="Times New Roman" w:cs="Times New Roman"/>
          <w:sz w:val="24"/>
          <w:szCs w:val="24"/>
        </w:rPr>
        <w:t xml:space="preserve">Rua </w:t>
      </w:r>
      <w:r w:rsidR="003A56F5">
        <w:rPr>
          <w:rFonts w:ascii="Times New Roman" w:hAnsi="Times New Roman" w:cs="Times New Roman"/>
          <w:sz w:val="24"/>
          <w:szCs w:val="24"/>
        </w:rPr>
        <w:t>Pedro Virgílio Correia</w:t>
      </w:r>
      <w:r w:rsidRPr="008C7B63">
        <w:rPr>
          <w:rFonts w:ascii="Times New Roman" w:hAnsi="Times New Roman" w:cs="Times New Roman"/>
          <w:sz w:val="24"/>
          <w:szCs w:val="24"/>
        </w:rPr>
        <w:t xml:space="preserve">, </w:t>
      </w:r>
      <w:r w:rsidR="003A56F5">
        <w:rPr>
          <w:rFonts w:ascii="Times New Roman" w:hAnsi="Times New Roman" w:cs="Times New Roman"/>
          <w:sz w:val="24"/>
          <w:szCs w:val="24"/>
        </w:rPr>
        <w:t>s/n</w:t>
      </w:r>
      <w:r w:rsidRPr="008C7B63">
        <w:rPr>
          <w:rFonts w:ascii="Times New Roman" w:hAnsi="Times New Roman" w:cs="Times New Roman"/>
          <w:sz w:val="24"/>
          <w:szCs w:val="24"/>
        </w:rPr>
        <w:t>,</w:t>
      </w:r>
      <w:r w:rsidR="003A56F5">
        <w:rPr>
          <w:rFonts w:ascii="Times New Roman" w:hAnsi="Times New Roman" w:cs="Times New Roman"/>
          <w:sz w:val="24"/>
          <w:szCs w:val="24"/>
        </w:rPr>
        <w:t xml:space="preserve"> quadra 20, lote 57B,</w:t>
      </w:r>
      <w:r w:rsidRPr="008C7B63">
        <w:rPr>
          <w:rFonts w:ascii="Times New Roman" w:hAnsi="Times New Roman" w:cs="Times New Roman"/>
          <w:sz w:val="24"/>
          <w:szCs w:val="24"/>
        </w:rPr>
        <w:t xml:space="preserve"> </w:t>
      </w:r>
      <w:r w:rsidR="003A56F5">
        <w:rPr>
          <w:rFonts w:ascii="Times New Roman" w:hAnsi="Times New Roman" w:cs="Times New Roman"/>
          <w:sz w:val="24"/>
          <w:szCs w:val="24"/>
        </w:rPr>
        <w:t>Jardim São Carlos</w:t>
      </w:r>
      <w:r w:rsidRPr="008C7B63">
        <w:rPr>
          <w:rFonts w:ascii="Times New Roman" w:hAnsi="Times New Roman" w:cs="Times New Roman"/>
          <w:sz w:val="24"/>
          <w:szCs w:val="24"/>
        </w:rPr>
        <w:t xml:space="preserve">, Itapevi, SP - CEP </w:t>
      </w:r>
      <w:r>
        <w:rPr>
          <w:rFonts w:ascii="Times New Roman" w:hAnsi="Times New Roman" w:cs="Times New Roman"/>
          <w:sz w:val="24"/>
          <w:szCs w:val="24"/>
        </w:rPr>
        <w:t>066</w:t>
      </w:r>
      <w:r w:rsidR="003A56F5">
        <w:rPr>
          <w:rFonts w:ascii="Times New Roman" w:hAnsi="Times New Roman" w:cs="Times New Roman"/>
          <w:sz w:val="24"/>
          <w:szCs w:val="24"/>
        </w:rPr>
        <w:t>94</w:t>
      </w:r>
      <w:r>
        <w:rPr>
          <w:rFonts w:ascii="Times New Roman" w:hAnsi="Times New Roman" w:cs="Times New Roman"/>
          <w:sz w:val="24"/>
          <w:szCs w:val="24"/>
        </w:rPr>
        <w:t>-4</w:t>
      </w:r>
      <w:r w:rsidR="003A56F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C7B63">
        <w:rPr>
          <w:rFonts w:ascii="Times New Roman" w:hAnsi="Times New Roman" w:cs="Times New Roman"/>
          <w:sz w:val="24"/>
          <w:szCs w:val="24"/>
        </w:rPr>
        <w:t>.</w:t>
      </w:r>
    </w:p>
    <w:p w:rsidR="00FF219C" w:rsidRDefault="008C7B63" w:rsidP="008C7B63">
      <w:pPr>
        <w:jc w:val="both"/>
        <w:rPr>
          <w:rFonts w:ascii="Times New Roman" w:hAnsi="Times New Roman" w:cs="Times New Roman"/>
          <w:sz w:val="24"/>
          <w:szCs w:val="24"/>
        </w:rPr>
      </w:pPr>
      <w:r w:rsidRPr="008C7B63">
        <w:rPr>
          <w:rFonts w:ascii="Times New Roman" w:hAnsi="Times New Roman" w:cs="Times New Roman"/>
          <w:b/>
          <w:sz w:val="24"/>
          <w:szCs w:val="24"/>
        </w:rPr>
        <w:t>Art. 2º</w:t>
      </w:r>
      <w:r w:rsidRPr="008C7B63">
        <w:rPr>
          <w:rFonts w:ascii="Times New Roman" w:hAnsi="Times New Roman" w:cs="Times New Roman"/>
          <w:sz w:val="24"/>
          <w:szCs w:val="24"/>
        </w:rPr>
        <w:t xml:space="preserve"> </w:t>
      </w:r>
      <w:r w:rsidR="00FF219C" w:rsidRPr="00FF219C">
        <w:rPr>
          <w:rFonts w:ascii="Times New Roman" w:hAnsi="Times New Roman" w:cs="Times New Roman"/>
          <w:sz w:val="24"/>
          <w:szCs w:val="24"/>
        </w:rPr>
        <w:t xml:space="preserve">Integrarão a presente Lei os seguintes documentos anexos: </w:t>
      </w:r>
      <w:r w:rsidR="00210576">
        <w:rPr>
          <w:rFonts w:ascii="Times New Roman" w:hAnsi="Times New Roman" w:cs="Times New Roman"/>
          <w:sz w:val="24"/>
          <w:szCs w:val="24"/>
        </w:rPr>
        <w:t>A</w:t>
      </w:r>
      <w:r w:rsidR="00FF219C" w:rsidRPr="00FF219C">
        <w:rPr>
          <w:rFonts w:ascii="Times New Roman" w:hAnsi="Times New Roman" w:cs="Times New Roman"/>
          <w:sz w:val="24"/>
          <w:szCs w:val="24"/>
        </w:rPr>
        <w:t xml:space="preserve">ta da Assembleia Geral de </w:t>
      </w:r>
      <w:r w:rsidR="00FF219C">
        <w:rPr>
          <w:rFonts w:ascii="Times New Roman" w:hAnsi="Times New Roman" w:cs="Times New Roman"/>
          <w:sz w:val="24"/>
          <w:szCs w:val="24"/>
        </w:rPr>
        <w:t>Constituição</w:t>
      </w:r>
      <w:r w:rsidR="00FF219C" w:rsidRPr="00FF219C">
        <w:rPr>
          <w:rFonts w:ascii="Times New Roman" w:hAnsi="Times New Roman" w:cs="Times New Roman"/>
          <w:sz w:val="24"/>
          <w:szCs w:val="24"/>
        </w:rPr>
        <w:t xml:space="preserve">, </w:t>
      </w:r>
      <w:r w:rsidR="00FF219C">
        <w:rPr>
          <w:rFonts w:ascii="Times New Roman" w:hAnsi="Times New Roman" w:cs="Times New Roman"/>
          <w:sz w:val="24"/>
          <w:szCs w:val="24"/>
        </w:rPr>
        <w:t>E</w:t>
      </w:r>
      <w:r w:rsidR="00FF219C" w:rsidRPr="00FF219C">
        <w:rPr>
          <w:rFonts w:ascii="Times New Roman" w:hAnsi="Times New Roman" w:cs="Times New Roman"/>
          <w:sz w:val="24"/>
          <w:szCs w:val="24"/>
        </w:rPr>
        <w:t>statuto</w:t>
      </w:r>
      <w:r w:rsidR="00FF219C">
        <w:rPr>
          <w:rFonts w:ascii="Times New Roman" w:hAnsi="Times New Roman" w:cs="Times New Roman"/>
          <w:sz w:val="24"/>
          <w:szCs w:val="24"/>
        </w:rPr>
        <w:t xml:space="preserve"> Social</w:t>
      </w:r>
      <w:r w:rsidR="00FF219C" w:rsidRPr="00FF219C">
        <w:rPr>
          <w:rFonts w:ascii="Times New Roman" w:hAnsi="Times New Roman" w:cs="Times New Roman"/>
          <w:sz w:val="24"/>
          <w:szCs w:val="24"/>
        </w:rPr>
        <w:t xml:space="preserve">, 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Certidão Negativa Tributária </w:t>
      </w:r>
      <w:r w:rsidR="00244F0D">
        <w:rPr>
          <w:rFonts w:ascii="Times New Roman" w:hAnsi="Times New Roman" w:cs="Times New Roman"/>
          <w:sz w:val="24"/>
          <w:szCs w:val="24"/>
        </w:rPr>
        <w:t>e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 Fiscal </w:t>
      </w:r>
      <w:r w:rsidR="00244F0D">
        <w:rPr>
          <w:rFonts w:ascii="Times New Roman" w:hAnsi="Times New Roman" w:cs="Times New Roman"/>
          <w:sz w:val="24"/>
          <w:szCs w:val="24"/>
        </w:rPr>
        <w:t>d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e Tributos </w:t>
      </w:r>
      <w:r w:rsidR="003A56F5">
        <w:rPr>
          <w:rFonts w:ascii="Times New Roman" w:hAnsi="Times New Roman" w:cs="Times New Roman"/>
          <w:sz w:val="24"/>
          <w:szCs w:val="24"/>
        </w:rPr>
        <w:t>Im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obiliários, Certidão Estadual </w:t>
      </w:r>
      <w:r w:rsidR="00244F0D">
        <w:rPr>
          <w:rFonts w:ascii="Times New Roman" w:hAnsi="Times New Roman" w:cs="Times New Roman"/>
          <w:sz w:val="24"/>
          <w:szCs w:val="24"/>
        </w:rPr>
        <w:t>d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e Distribuições Cíveis, Certidão Estadual </w:t>
      </w:r>
      <w:r w:rsidR="00244F0D">
        <w:rPr>
          <w:rFonts w:ascii="Times New Roman" w:hAnsi="Times New Roman" w:cs="Times New Roman"/>
          <w:sz w:val="24"/>
          <w:szCs w:val="24"/>
        </w:rPr>
        <w:t>d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e Distribuições Criminais, Certidão Negativa </w:t>
      </w:r>
      <w:r w:rsidR="00244F0D">
        <w:rPr>
          <w:rFonts w:ascii="Times New Roman" w:hAnsi="Times New Roman" w:cs="Times New Roman"/>
          <w:sz w:val="24"/>
          <w:szCs w:val="24"/>
        </w:rPr>
        <w:t>d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e Débitos Tributários </w:t>
      </w:r>
      <w:r w:rsidR="00244F0D">
        <w:rPr>
          <w:rFonts w:ascii="Times New Roman" w:hAnsi="Times New Roman" w:cs="Times New Roman"/>
          <w:sz w:val="24"/>
          <w:szCs w:val="24"/>
        </w:rPr>
        <w:t>d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a Dívida Ativa </w:t>
      </w:r>
      <w:r w:rsidR="00244F0D">
        <w:rPr>
          <w:rFonts w:ascii="Times New Roman" w:hAnsi="Times New Roman" w:cs="Times New Roman"/>
          <w:sz w:val="24"/>
          <w:szCs w:val="24"/>
        </w:rPr>
        <w:t>d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o </w:t>
      </w:r>
      <w:r w:rsidR="00FF219C" w:rsidRPr="00FF219C">
        <w:rPr>
          <w:rFonts w:ascii="Times New Roman" w:hAnsi="Times New Roman" w:cs="Times New Roman"/>
          <w:sz w:val="24"/>
          <w:szCs w:val="24"/>
        </w:rPr>
        <w:t xml:space="preserve">Estado </w:t>
      </w:r>
      <w:r w:rsidR="00244F0D">
        <w:rPr>
          <w:rFonts w:ascii="Times New Roman" w:hAnsi="Times New Roman" w:cs="Times New Roman"/>
          <w:sz w:val="24"/>
          <w:szCs w:val="24"/>
        </w:rPr>
        <w:t>d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e </w:t>
      </w:r>
      <w:r w:rsidR="00FF219C" w:rsidRPr="00FF219C">
        <w:rPr>
          <w:rFonts w:ascii="Times New Roman" w:hAnsi="Times New Roman" w:cs="Times New Roman"/>
          <w:sz w:val="24"/>
          <w:szCs w:val="24"/>
        </w:rPr>
        <w:t>São Paulo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, Certidão Negativa </w:t>
      </w:r>
      <w:r w:rsidR="00244F0D">
        <w:rPr>
          <w:rFonts w:ascii="Times New Roman" w:hAnsi="Times New Roman" w:cs="Times New Roman"/>
          <w:sz w:val="24"/>
          <w:szCs w:val="24"/>
        </w:rPr>
        <w:t>d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e Débitos Relativos </w:t>
      </w:r>
      <w:r w:rsidR="00244F0D">
        <w:rPr>
          <w:rFonts w:ascii="Times New Roman" w:hAnsi="Times New Roman" w:cs="Times New Roman"/>
          <w:sz w:val="24"/>
          <w:szCs w:val="24"/>
        </w:rPr>
        <w:t>a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os Tributos Federais </w:t>
      </w:r>
      <w:r w:rsidR="00244F0D">
        <w:rPr>
          <w:rFonts w:ascii="Times New Roman" w:hAnsi="Times New Roman" w:cs="Times New Roman"/>
          <w:sz w:val="24"/>
          <w:szCs w:val="24"/>
        </w:rPr>
        <w:t>e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 </w:t>
      </w:r>
      <w:r w:rsidR="00244F0D">
        <w:rPr>
          <w:rFonts w:ascii="Times New Roman" w:hAnsi="Times New Roman" w:cs="Times New Roman"/>
          <w:sz w:val="24"/>
          <w:szCs w:val="24"/>
        </w:rPr>
        <w:t>à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 Dívida Ativa Da </w:t>
      </w:r>
      <w:r w:rsidR="00FF219C" w:rsidRPr="00FF219C">
        <w:rPr>
          <w:rFonts w:ascii="Times New Roman" w:hAnsi="Times New Roman" w:cs="Times New Roman"/>
          <w:sz w:val="24"/>
          <w:szCs w:val="24"/>
        </w:rPr>
        <w:t>União</w:t>
      </w:r>
      <w:r w:rsidR="00244F0D" w:rsidRPr="00FF219C">
        <w:rPr>
          <w:rFonts w:ascii="Times New Roman" w:hAnsi="Times New Roman" w:cs="Times New Roman"/>
          <w:sz w:val="24"/>
          <w:szCs w:val="24"/>
        </w:rPr>
        <w:t>, Certidão Judicial Cível (</w:t>
      </w:r>
      <w:r w:rsidR="00FF219C" w:rsidRPr="00FF219C">
        <w:rPr>
          <w:rFonts w:ascii="Times New Roman" w:hAnsi="Times New Roman" w:cs="Times New Roman"/>
          <w:sz w:val="24"/>
          <w:szCs w:val="24"/>
        </w:rPr>
        <w:t>TRF3</w:t>
      </w:r>
      <w:r w:rsidR="00244F0D" w:rsidRPr="00FF219C">
        <w:rPr>
          <w:rFonts w:ascii="Times New Roman" w:hAnsi="Times New Roman" w:cs="Times New Roman"/>
          <w:sz w:val="24"/>
          <w:szCs w:val="24"/>
        </w:rPr>
        <w:t>)</w:t>
      </w:r>
      <w:r w:rsidR="006557E7">
        <w:rPr>
          <w:rFonts w:ascii="Times New Roman" w:hAnsi="Times New Roman" w:cs="Times New Roman"/>
          <w:sz w:val="24"/>
          <w:szCs w:val="24"/>
        </w:rPr>
        <w:t>,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 Cer</w:t>
      </w:r>
      <w:r w:rsidR="00244F0D">
        <w:rPr>
          <w:rFonts w:ascii="Times New Roman" w:hAnsi="Times New Roman" w:cs="Times New Roman"/>
          <w:sz w:val="24"/>
          <w:szCs w:val="24"/>
        </w:rPr>
        <w:t>tidão Judicial Criminal</w:t>
      </w:r>
      <w:r w:rsidR="001F53BF">
        <w:rPr>
          <w:rFonts w:ascii="Times New Roman" w:hAnsi="Times New Roman" w:cs="Times New Roman"/>
          <w:sz w:val="24"/>
          <w:szCs w:val="24"/>
        </w:rPr>
        <w:t xml:space="preserve"> (TRF3)</w:t>
      </w:r>
      <w:r w:rsidR="006557E7">
        <w:rPr>
          <w:rFonts w:ascii="Times New Roman" w:hAnsi="Times New Roman" w:cs="Times New Roman"/>
          <w:sz w:val="24"/>
          <w:szCs w:val="24"/>
        </w:rPr>
        <w:t xml:space="preserve"> e Certificado de Regularidade do FGTS</w:t>
      </w:r>
      <w:r w:rsidR="00FF219C" w:rsidRPr="00FF219C">
        <w:rPr>
          <w:rFonts w:ascii="Times New Roman" w:hAnsi="Times New Roman" w:cs="Times New Roman"/>
          <w:sz w:val="24"/>
          <w:szCs w:val="24"/>
        </w:rPr>
        <w:t>.</w:t>
      </w:r>
    </w:p>
    <w:p w:rsidR="008C7B63" w:rsidRPr="008C7B63" w:rsidRDefault="00FF219C" w:rsidP="008C7B63">
      <w:pPr>
        <w:jc w:val="both"/>
        <w:rPr>
          <w:rFonts w:ascii="Times New Roman" w:hAnsi="Times New Roman" w:cs="Times New Roman"/>
          <w:sz w:val="24"/>
          <w:szCs w:val="24"/>
        </w:rPr>
      </w:pPr>
      <w:r w:rsidRPr="008C7B63">
        <w:rPr>
          <w:rFonts w:ascii="Times New Roman" w:hAnsi="Times New Roman" w:cs="Times New Roman"/>
          <w:b/>
          <w:sz w:val="24"/>
          <w:szCs w:val="24"/>
        </w:rPr>
        <w:t>Art. 3º</w:t>
      </w:r>
      <w:r w:rsidRPr="008C7B63">
        <w:rPr>
          <w:rFonts w:ascii="Times New Roman" w:hAnsi="Times New Roman" w:cs="Times New Roman"/>
          <w:sz w:val="24"/>
          <w:szCs w:val="24"/>
        </w:rPr>
        <w:t xml:space="preserve"> </w:t>
      </w:r>
      <w:r w:rsidR="008C7B63" w:rsidRPr="008C7B63">
        <w:rPr>
          <w:rFonts w:ascii="Times New Roman" w:hAnsi="Times New Roman" w:cs="Times New Roman"/>
          <w:sz w:val="24"/>
          <w:szCs w:val="24"/>
        </w:rPr>
        <w:t>As despesas decorrentes da execução desta Lei correrão por conta das dotações orçamentárias próprias, suplementadas se necessário.</w:t>
      </w:r>
    </w:p>
    <w:p w:rsidR="008C7B63" w:rsidRDefault="008C7B63" w:rsidP="008C7B63">
      <w:pPr>
        <w:jc w:val="both"/>
        <w:rPr>
          <w:rFonts w:ascii="Times New Roman" w:hAnsi="Times New Roman" w:cs="Times New Roman"/>
          <w:sz w:val="24"/>
          <w:szCs w:val="24"/>
        </w:rPr>
      </w:pPr>
      <w:r w:rsidRPr="008C7B63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FF219C">
        <w:rPr>
          <w:rFonts w:ascii="Times New Roman" w:hAnsi="Times New Roman" w:cs="Times New Roman"/>
          <w:b/>
          <w:sz w:val="24"/>
          <w:szCs w:val="24"/>
        </w:rPr>
        <w:t>4</w:t>
      </w:r>
      <w:r w:rsidRPr="008C7B63">
        <w:rPr>
          <w:rFonts w:ascii="Times New Roman" w:hAnsi="Times New Roman" w:cs="Times New Roman"/>
          <w:b/>
          <w:sz w:val="24"/>
          <w:szCs w:val="24"/>
        </w:rPr>
        <w:t>º</w:t>
      </w:r>
      <w:r w:rsidRPr="008C7B63">
        <w:rPr>
          <w:rFonts w:ascii="Times New Roman" w:hAnsi="Times New Roman" w:cs="Times New Roman"/>
          <w:sz w:val="24"/>
          <w:szCs w:val="24"/>
        </w:rPr>
        <w:t xml:space="preserve"> Esta Lei entra em vigor na data de sua publicação, revogadas as disposições em contrário.</w:t>
      </w:r>
    </w:p>
    <w:p w:rsidR="008C7B63" w:rsidRDefault="008C7B63" w:rsidP="008C7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7B63" w:rsidRDefault="008C7B63" w:rsidP="008C7B6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</w:t>
      </w:r>
      <w:r w:rsidRPr="008C7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7B63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8C7B63">
        <w:rPr>
          <w:rFonts w:ascii="Times New Roman" w:hAnsi="Times New Roman" w:cs="Times New Roman"/>
          <w:sz w:val="24"/>
          <w:szCs w:val="24"/>
        </w:rPr>
        <w:t xml:space="preserve"> Moreira Nery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C7B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 w:rsidR="003A56F5">
        <w:rPr>
          <w:rFonts w:ascii="Times New Roman" w:hAnsi="Times New Roman" w:cs="Times New Roman"/>
          <w:sz w:val="24"/>
          <w:szCs w:val="24"/>
        </w:rPr>
        <w:t>8</w:t>
      </w:r>
      <w:r w:rsidRPr="008C7B63">
        <w:rPr>
          <w:rFonts w:ascii="Times New Roman" w:hAnsi="Times New Roman" w:cs="Times New Roman"/>
          <w:sz w:val="24"/>
          <w:szCs w:val="24"/>
        </w:rPr>
        <w:t xml:space="preserve"> de </w:t>
      </w:r>
      <w:r w:rsidR="003A56F5">
        <w:rPr>
          <w:rFonts w:ascii="Times New Roman" w:hAnsi="Times New Roman" w:cs="Times New Roman"/>
          <w:sz w:val="24"/>
          <w:szCs w:val="24"/>
        </w:rPr>
        <w:t>outubro</w:t>
      </w:r>
      <w:r w:rsidRPr="008C7B63">
        <w:rPr>
          <w:rFonts w:ascii="Times New Roman" w:hAnsi="Times New Roman" w:cs="Times New Roman"/>
          <w:sz w:val="24"/>
          <w:szCs w:val="24"/>
        </w:rPr>
        <w:t xml:space="preserve"> de 2024.</w:t>
      </w:r>
    </w:p>
    <w:p w:rsidR="003A56F5" w:rsidRDefault="003A56F5" w:rsidP="008C7B6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C7B63" w:rsidRDefault="008C7B63" w:rsidP="008C7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42BA" w:rsidRDefault="006B42BA" w:rsidP="006B42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</w:p>
    <w:p w:rsidR="008C7B63" w:rsidRPr="008C7B63" w:rsidRDefault="006B42BA" w:rsidP="006B42BA">
      <w:pPr>
        <w:jc w:val="center"/>
        <w:rPr>
          <w:rFonts w:ascii="Times New Roman" w:hAnsi="Times New Roman" w:cs="Times New Roman"/>
          <w:sz w:val="24"/>
          <w:szCs w:val="24"/>
        </w:rPr>
      </w:pPr>
      <w:r w:rsidRPr="003A56F5">
        <w:rPr>
          <w:rFonts w:ascii="Times New Roman" w:hAnsi="Times New Roman" w:cs="Times New Roman"/>
          <w:sz w:val="24"/>
          <w:szCs w:val="24"/>
        </w:rPr>
        <w:t>Vereador Casão</w:t>
      </w:r>
    </w:p>
    <w:p w:rsidR="008C7B63" w:rsidRDefault="008C7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C7B63" w:rsidRDefault="008C7B63" w:rsidP="008C7B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6557E7" w:rsidRDefault="006557E7" w:rsidP="006557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57E7" w:rsidRPr="006557E7" w:rsidRDefault="006557E7" w:rsidP="006557E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7E7">
        <w:rPr>
          <w:rFonts w:ascii="Times New Roman" w:hAnsi="Times New Roman" w:cs="Times New Roman"/>
          <w:sz w:val="24"/>
          <w:szCs w:val="24"/>
        </w:rPr>
        <w:t>O presente Projeto de Lei visa declarar de utilidade pública a Associação Projeto Raquetes Para a Vida, uma entidade sem fins lucrativos que desempenha um papel essencial na promoção da inclusão social em Itapevi. Fundada com o objetivo de proporcionar às crianças e adolescentes em situação de vulnerabilidade o acesso à prática do tênis, a associação oferece um ambiente propício ao desenvolvimento de habilidades esportivas e sociais.</w:t>
      </w:r>
    </w:p>
    <w:p w:rsidR="006557E7" w:rsidRPr="006557E7" w:rsidRDefault="006557E7" w:rsidP="006557E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7E7">
        <w:rPr>
          <w:rFonts w:ascii="Times New Roman" w:hAnsi="Times New Roman" w:cs="Times New Roman"/>
          <w:sz w:val="24"/>
          <w:szCs w:val="24"/>
        </w:rPr>
        <w:t>Desde a sua criação, o Projeto Raquetes Para a Vida tem impactado positivamente a vida de inúmeras famílias em nossa cidade e região, promovendo valores fundamentais como disciplina, trabalho em equipe e respeito. Além de incentivar a prática esportiva, o projeto tem como objetivo contribuir para a formação integral dos jovens participantes, oferecendo uma oportunidade de crescimento pessoal e de engajamento social.</w:t>
      </w:r>
    </w:p>
    <w:p w:rsidR="006F137D" w:rsidRDefault="006557E7" w:rsidP="006557E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7E7">
        <w:rPr>
          <w:rFonts w:ascii="Times New Roman" w:hAnsi="Times New Roman" w:cs="Times New Roman"/>
          <w:sz w:val="24"/>
          <w:szCs w:val="24"/>
        </w:rPr>
        <w:t>Portanto, considerando a relevância do trabalho desenvolvido pela associação e os impactos positivos gerados na vida de jovens e suas famílias, solicitamos o apoio dos nobres vereadores para a aprovação deste Projeto de Lei, garantindo à Associação Projeto Raquetes Para a Vida o reconhecimento de utilidade pública municipal, que será de grande importância para o avanço das suas ações em prol da inclusão e desenvolvimento social.</w:t>
      </w:r>
    </w:p>
    <w:p w:rsidR="006557E7" w:rsidRPr="006F137D" w:rsidRDefault="006557E7" w:rsidP="006557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137D" w:rsidRDefault="006F137D" w:rsidP="006F13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137D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6F137D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6F137D">
        <w:rPr>
          <w:rFonts w:ascii="Times New Roman" w:hAnsi="Times New Roman" w:cs="Times New Roman"/>
          <w:sz w:val="24"/>
          <w:szCs w:val="24"/>
        </w:rPr>
        <w:t xml:space="preserve"> Moreira Nery, 0</w:t>
      </w:r>
      <w:r w:rsidR="006557E7">
        <w:rPr>
          <w:rFonts w:ascii="Times New Roman" w:hAnsi="Times New Roman" w:cs="Times New Roman"/>
          <w:sz w:val="24"/>
          <w:szCs w:val="24"/>
        </w:rPr>
        <w:t>8</w:t>
      </w:r>
      <w:r w:rsidRPr="006F137D">
        <w:rPr>
          <w:rFonts w:ascii="Times New Roman" w:hAnsi="Times New Roman" w:cs="Times New Roman"/>
          <w:sz w:val="24"/>
          <w:szCs w:val="24"/>
        </w:rPr>
        <w:t xml:space="preserve"> de </w:t>
      </w:r>
      <w:r w:rsidR="006557E7">
        <w:rPr>
          <w:rFonts w:ascii="Times New Roman" w:hAnsi="Times New Roman" w:cs="Times New Roman"/>
          <w:sz w:val="24"/>
          <w:szCs w:val="24"/>
        </w:rPr>
        <w:t>outubro</w:t>
      </w:r>
      <w:r w:rsidRPr="006F137D">
        <w:rPr>
          <w:rFonts w:ascii="Times New Roman" w:hAnsi="Times New Roman" w:cs="Times New Roman"/>
          <w:sz w:val="24"/>
          <w:szCs w:val="24"/>
        </w:rPr>
        <w:t xml:space="preserve"> de 2024.</w:t>
      </w:r>
    </w:p>
    <w:p w:rsidR="006F137D" w:rsidRDefault="006F137D" w:rsidP="006F137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F137D" w:rsidRDefault="006B42BA" w:rsidP="006F1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</w:p>
    <w:p w:rsidR="006F137D" w:rsidRPr="006F137D" w:rsidRDefault="006B42BA" w:rsidP="006F13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Casão</w:t>
      </w:r>
    </w:p>
    <w:sectPr w:rsidR="006F137D" w:rsidRPr="006F137D" w:rsidSect="00340F56">
      <w:headerReference w:type="default" r:id="rId6"/>
      <w:pgSz w:w="11906" w:h="16838"/>
      <w:pgMar w:top="28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2F5" w:rsidRDefault="004102F5" w:rsidP="00340F56">
      <w:pPr>
        <w:spacing w:after="0" w:line="240" w:lineRule="auto"/>
      </w:pPr>
      <w:r>
        <w:separator/>
      </w:r>
    </w:p>
  </w:endnote>
  <w:endnote w:type="continuationSeparator" w:id="0">
    <w:p w:rsidR="004102F5" w:rsidRDefault="004102F5" w:rsidP="00340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2F5" w:rsidRDefault="004102F5" w:rsidP="00340F56">
      <w:pPr>
        <w:spacing w:after="0" w:line="240" w:lineRule="auto"/>
      </w:pPr>
      <w:r>
        <w:separator/>
      </w:r>
    </w:p>
  </w:footnote>
  <w:footnote w:type="continuationSeparator" w:id="0">
    <w:p w:rsidR="004102F5" w:rsidRDefault="004102F5" w:rsidP="00340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F56" w:rsidRDefault="004102F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4.3pt;margin-top:-141.7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F56"/>
    <w:rsid w:val="00157377"/>
    <w:rsid w:val="00166326"/>
    <w:rsid w:val="001F53BF"/>
    <w:rsid w:val="00210576"/>
    <w:rsid w:val="00244F0D"/>
    <w:rsid w:val="00340F56"/>
    <w:rsid w:val="003A56F5"/>
    <w:rsid w:val="004102F5"/>
    <w:rsid w:val="005B56ED"/>
    <w:rsid w:val="006557E7"/>
    <w:rsid w:val="006B42BA"/>
    <w:rsid w:val="006F137D"/>
    <w:rsid w:val="0087016C"/>
    <w:rsid w:val="008746AC"/>
    <w:rsid w:val="008C7B63"/>
    <w:rsid w:val="009F2B56"/>
    <w:rsid w:val="00BA75BA"/>
    <w:rsid w:val="00C91260"/>
    <w:rsid w:val="00D73A46"/>
    <w:rsid w:val="00ED775F"/>
    <w:rsid w:val="00F5061E"/>
    <w:rsid w:val="00FF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211F71E"/>
  <w15:chartTrackingRefBased/>
  <w15:docId w15:val="{EB519CC5-CE2B-4897-A39E-A2A31CC91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F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0F56"/>
  </w:style>
  <w:style w:type="paragraph" w:styleId="Rodap">
    <w:name w:val="footer"/>
    <w:basedOn w:val="Normal"/>
    <w:link w:val="RodapChar"/>
    <w:uiPriority w:val="99"/>
    <w:unhideWhenUsed/>
    <w:rsid w:val="00340F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0F56"/>
  </w:style>
  <w:style w:type="paragraph" w:styleId="Textodebalo">
    <w:name w:val="Balloon Text"/>
    <w:basedOn w:val="Normal"/>
    <w:link w:val="TextodebaloChar"/>
    <w:uiPriority w:val="99"/>
    <w:semiHidden/>
    <w:unhideWhenUsed/>
    <w:rsid w:val="008701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016C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3A5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432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5</cp:revision>
  <cp:lastPrinted>2024-09-24T11:14:00Z</cp:lastPrinted>
  <dcterms:created xsi:type="dcterms:W3CDTF">2024-10-08T18:15:00Z</dcterms:created>
  <dcterms:modified xsi:type="dcterms:W3CDTF">2024-10-15T11:12:00Z</dcterms:modified>
</cp:coreProperties>
</file>