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123 / 2024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034/2013, referente ao TC-34271/026/07.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TC-34271/026/07, conforme § 2º do Art. 278 da Resolução nº 30/2021 (Regimento Interno).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034/2013.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Akdenis Mohamad Kourani</w:t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3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Akdenis Mohamad Kourani</w:t>
            </w:r>
          </w:p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S/ObKRZVyxAijlVye1xIIHaERA==">CgMxLjAyDWgucml6bjZ4YzZ3MTAyCGguZ2pkZ3hzMgloLjMwajB6bGw4AHIhMUtHNjBFUkVaVGJQNUtLN3hkYXJma1Y1MDhibHNyWEJJ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