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2A14" w:rsidP="006028FF" w14:paraId="0A2D94CD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7E4A9366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7E2A14" w:rsidP="006028FF" w14:paraId="0BE5BEB0" w14:textId="77777777">
      <w:pPr>
        <w:pStyle w:val="BodyText3"/>
        <w:spacing w:line="360" w:lineRule="auto"/>
        <w:ind w:left="2880"/>
        <w:jc w:val="both"/>
        <w:rPr>
          <w:b/>
          <w:sz w:val="24"/>
          <w:szCs w:val="24"/>
        </w:rPr>
      </w:pPr>
    </w:p>
    <w:p w:rsidR="006028FF" w:rsidRPr="006028FF" w:rsidP="00DB72D8" w14:paraId="73D5316B" w14:textId="1669E296">
      <w:pPr>
        <w:pStyle w:val="BodyText3"/>
        <w:spacing w:line="360" w:lineRule="auto"/>
        <w:ind w:left="354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77/2022</w:t>
      </w:r>
    </w:p>
    <w:p w:rsidR="006028FF" w:rsidRPr="006028FF" w:rsidP="006028FF" w14:paraId="54D5D16D" w14:textId="77777777">
      <w:pPr>
        <w:pStyle w:val="BodyTextIndent"/>
        <w:spacing w:after="0" w:line="360" w:lineRule="auto"/>
        <w:ind w:left="3969"/>
        <w:jc w:val="both"/>
        <w:rPr>
          <w:b/>
        </w:rPr>
      </w:pPr>
    </w:p>
    <w:p w:rsidR="006028FF" w:rsidRPr="003541BF" w:rsidP="006028FF" w14:paraId="29D030AB" w14:textId="7E8B580F">
      <w:pPr>
        <w:pStyle w:val="BodyTextIndent"/>
        <w:spacing w:after="0" w:line="360" w:lineRule="auto"/>
        <w:ind w:left="2268"/>
        <w:jc w:val="both"/>
        <w:rPr>
          <w:color w:val="333333"/>
        </w:rPr>
      </w:pPr>
      <w:r>
        <w:t>“Institui o</w:t>
      </w:r>
      <w:r w:rsidRPr="003541BF" w:rsidR="003541BF">
        <w:t xml:space="preserve"> </w:t>
      </w:r>
      <w:r w:rsidR="003541BF">
        <w:t>“</w:t>
      </w:r>
      <w:r w:rsidR="000F32F8">
        <w:t>Dia do Reconhecimento e Homenagem às Vítimas do Genocídio Armênio de 1915</w:t>
      </w:r>
      <w:r w:rsidR="00E219CF">
        <w:t>”</w:t>
      </w:r>
      <w:r w:rsidRPr="003541BF" w:rsidR="003541BF">
        <w:t xml:space="preserve"> no Município de Itapevi e dá outras providências”.</w:t>
      </w:r>
    </w:p>
    <w:p w:rsidR="006028FF" w:rsidRPr="006028FF" w:rsidP="006028FF" w14:paraId="32E7E371" w14:textId="77777777">
      <w:pPr>
        <w:pStyle w:val="BodyTextIndent"/>
        <w:spacing w:after="0" w:line="360" w:lineRule="auto"/>
        <w:ind w:left="0" w:firstLine="709"/>
        <w:jc w:val="both"/>
      </w:pPr>
    </w:p>
    <w:p w:rsidR="006028FF" w:rsidRPr="006028FF" w:rsidP="006028FF" w14:paraId="050D3F4B" w14:textId="77777777">
      <w:pPr>
        <w:pStyle w:val="BodyTextIndent"/>
        <w:spacing w:after="0" w:line="360" w:lineRule="auto"/>
        <w:ind w:left="0" w:firstLine="709"/>
        <w:jc w:val="both"/>
      </w:pPr>
    </w:p>
    <w:p w:rsidR="00677D82" w:rsidRPr="005C26A2" w:rsidP="00677D82" w14:paraId="1A666954" w14:textId="3B7D73F5">
      <w:pPr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C26A2">
        <w:rPr>
          <w:rFonts w:ascii="Times New Roman" w:hAnsi="Times New Roman" w:cs="Times New Roman"/>
          <w:b/>
          <w:sz w:val="24"/>
          <w:szCs w:val="24"/>
        </w:rPr>
        <w:t>Art. 1</w:t>
      </w:r>
      <w:r w:rsidRPr="005C26A2" w:rsidR="00300BA6">
        <w:rPr>
          <w:rFonts w:ascii="Times New Roman" w:hAnsi="Times New Roman" w:cs="Times New Roman"/>
          <w:b/>
          <w:sz w:val="24"/>
          <w:szCs w:val="24"/>
        </w:rPr>
        <w:t>º</w:t>
      </w:r>
      <w:r w:rsidRPr="005C26A2" w:rsidR="00300BA6">
        <w:rPr>
          <w:rFonts w:ascii="Times New Roman" w:hAnsi="Times New Roman" w:cs="Times New Roman"/>
          <w:sz w:val="24"/>
          <w:szCs w:val="24"/>
        </w:rPr>
        <w:t xml:space="preserve"> Fica</w:t>
      </w:r>
      <w:r w:rsidRPr="005C26A2" w:rsidR="00217C67">
        <w:rPr>
          <w:rFonts w:ascii="Times New Roman" w:hAnsi="Times New Roman" w:cs="Times New Roman"/>
          <w:sz w:val="24"/>
          <w:szCs w:val="24"/>
        </w:rPr>
        <w:t xml:space="preserve"> autorizado o Poder Executivo instituir</w:t>
      </w:r>
      <w:r w:rsidRPr="005C26A2" w:rsidR="00564E4E">
        <w:rPr>
          <w:rFonts w:ascii="Times New Roman" w:hAnsi="Times New Roman" w:cs="Times New Roman"/>
          <w:sz w:val="24"/>
          <w:szCs w:val="24"/>
        </w:rPr>
        <w:t xml:space="preserve"> o</w:t>
      </w:r>
      <w:r w:rsidRPr="005C26A2">
        <w:rPr>
          <w:rFonts w:ascii="Times New Roman" w:hAnsi="Times New Roman" w:cs="Times New Roman"/>
          <w:sz w:val="24"/>
          <w:szCs w:val="24"/>
        </w:rPr>
        <w:t xml:space="preserve"> </w:t>
      </w:r>
      <w:r w:rsidRPr="005C26A2" w:rsidR="00E219CF">
        <w:rPr>
          <w:rFonts w:ascii="Times New Roman" w:hAnsi="Times New Roman" w:cs="Times New Roman"/>
          <w:sz w:val="24"/>
          <w:szCs w:val="24"/>
        </w:rPr>
        <w:t>“</w:t>
      </w:r>
      <w:r w:rsidRPr="005C26A2" w:rsidR="005C26A2">
        <w:rPr>
          <w:rFonts w:ascii="Times New Roman" w:hAnsi="Times New Roman" w:cs="Times New Roman"/>
          <w:sz w:val="24"/>
          <w:szCs w:val="24"/>
        </w:rPr>
        <w:t>Dia do Reconhecimento e Homenagem às Vítimas do Genocídio Armênio de 1915</w:t>
      </w:r>
      <w:r w:rsidRPr="005C26A2" w:rsidR="00E219CF">
        <w:rPr>
          <w:rFonts w:ascii="Times New Roman" w:hAnsi="Times New Roman" w:cs="Times New Roman"/>
          <w:sz w:val="24"/>
          <w:szCs w:val="24"/>
        </w:rPr>
        <w:t>”</w:t>
      </w:r>
      <w:r w:rsidRPr="005C26A2">
        <w:rPr>
          <w:rFonts w:ascii="Times New Roman" w:hAnsi="Times New Roman" w:cs="Times New Roman"/>
          <w:sz w:val="24"/>
          <w:szCs w:val="24"/>
        </w:rPr>
        <w:t xml:space="preserve">, a ser comemorado anualmente </w:t>
      </w:r>
      <w:r w:rsidR="003C4995">
        <w:rPr>
          <w:rFonts w:ascii="Times New Roman" w:hAnsi="Times New Roman" w:cs="Times New Roman"/>
          <w:sz w:val="24"/>
          <w:szCs w:val="24"/>
        </w:rPr>
        <w:t>no dia 24 de abril</w:t>
      </w:r>
      <w:r w:rsidRPr="005C26A2" w:rsidR="00015DC2">
        <w:rPr>
          <w:rFonts w:ascii="Times New Roman" w:hAnsi="Times New Roman" w:cs="Times New Roman"/>
          <w:sz w:val="24"/>
          <w:szCs w:val="24"/>
        </w:rPr>
        <w:t xml:space="preserve">. </w:t>
      </w:r>
      <w:r w:rsidRPr="005C26A2" w:rsidR="00077D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C67" w:rsidRPr="006028FF" w:rsidP="00677D82" w14:paraId="738741A0" w14:textId="465A89D4">
      <w:pPr>
        <w:pStyle w:val="Head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7C67"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FBC">
        <w:rPr>
          <w:rFonts w:ascii="Times New Roman" w:hAnsi="Times New Roman" w:cs="Times New Roman"/>
          <w:sz w:val="24"/>
          <w:szCs w:val="24"/>
        </w:rPr>
        <w:t xml:space="preserve">Fica autorizado 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7D2FBC">
        <w:rPr>
          <w:rFonts w:ascii="Times New Roman" w:hAnsi="Times New Roman" w:cs="Times New Roman"/>
          <w:sz w:val="24"/>
          <w:szCs w:val="24"/>
        </w:rPr>
        <w:t>unicípio, observado os critérios de oportunidade e conveniência, incluir a data prevista no artigo 1º no Calendário Oficial de Eventos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28FF" w:rsidRPr="006028FF" w:rsidP="00E375E1" w14:paraId="535173D5" w14:textId="01D9CB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Pr="006028FF" w:rsidR="00E375E1">
        <w:rPr>
          <w:rFonts w:ascii="Times New Roman" w:hAnsi="Times New Roman" w:cs="Times New Roman"/>
          <w:b/>
          <w:sz w:val="24"/>
          <w:szCs w:val="24"/>
        </w:rPr>
        <w:t>º</w:t>
      </w:r>
      <w:r w:rsidR="00E375E1">
        <w:rPr>
          <w:rFonts w:ascii="Times New Roman" w:hAnsi="Times New Roman" w:cs="Times New Roman"/>
          <w:sz w:val="24"/>
          <w:szCs w:val="24"/>
        </w:rPr>
        <w:t xml:space="preserve"> </w:t>
      </w:r>
      <w:r w:rsidRPr="006028FF" w:rsidR="00E375E1">
        <w:rPr>
          <w:rFonts w:ascii="Times New Roman" w:hAnsi="Times New Roman" w:cs="Times New Roman"/>
          <w:sz w:val="24"/>
          <w:szCs w:val="24"/>
        </w:rPr>
        <w:t>Esta</w:t>
      </w:r>
      <w:r w:rsidRPr="006028FF">
        <w:rPr>
          <w:rFonts w:ascii="Times New Roman" w:hAnsi="Times New Roman" w:cs="Times New Roman"/>
          <w:sz w:val="24"/>
          <w:szCs w:val="24"/>
        </w:rPr>
        <w:t xml:space="preserve"> Lei entra em vigor na data de sua publicação, revogadas as disposições em contrário.</w:t>
      </w:r>
    </w:p>
    <w:p w:rsidR="00217C67" w:rsidP="00E375E1" w14:paraId="69011983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P="00E375E1" w14:paraId="1B507374" w14:textId="18250AF9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2295525</wp:posOffset>
            </wp:positionH>
            <wp:positionV relativeFrom="paragraph">
              <wp:posOffset>55880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314725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822BB8">
        <w:rPr>
          <w:rFonts w:ascii="Times New Roman" w:hAnsi="Times New Roman" w:cs="Times New Roman"/>
          <w:sz w:val="24"/>
          <w:szCs w:val="24"/>
        </w:rPr>
        <w:t>09 de mai</w:t>
      </w:r>
      <w:r w:rsidR="00410265">
        <w:rPr>
          <w:rFonts w:ascii="Times New Roman" w:hAnsi="Times New Roman" w:cs="Times New Roman"/>
          <w:sz w:val="24"/>
          <w:szCs w:val="24"/>
        </w:rPr>
        <w:t>o</w:t>
      </w:r>
      <w:r w:rsidR="006B47D4">
        <w:rPr>
          <w:rFonts w:ascii="Times New Roman" w:hAnsi="Times New Roman" w:cs="Times New Roman"/>
          <w:sz w:val="24"/>
          <w:szCs w:val="24"/>
        </w:rPr>
        <w:t xml:space="preserve"> de 2022</w:t>
      </w:r>
      <w:r w:rsidRPr="006028FF">
        <w:rPr>
          <w:rFonts w:ascii="Times New Roman" w:hAnsi="Times New Roman" w:cs="Times New Roman"/>
          <w:sz w:val="24"/>
          <w:szCs w:val="24"/>
        </w:rPr>
        <w:t>.</w:t>
      </w:r>
    </w:p>
    <w:p w:rsidR="00E375E1" w:rsidRPr="006028FF" w:rsidP="00A95F19" w14:paraId="5C9F5BB3" w14:textId="6022B178">
      <w:pPr>
        <w:rPr>
          <w:rFonts w:ascii="Times New Roman" w:hAnsi="Times New Roman" w:cs="Times New Roman"/>
          <w:sz w:val="24"/>
          <w:szCs w:val="24"/>
        </w:rPr>
      </w:pPr>
    </w:p>
    <w:p w:rsidR="00E375E1" w:rsidRPr="006028FF" w:rsidP="00E375E1" w14:paraId="7869EFA5" w14:textId="77777777">
      <w:pPr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E375E1" w:rsidP="00E375E1" w14:paraId="131B8A39" w14:textId="2DFF3F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6028FF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A95F19" w:rsidRPr="006028FF" w:rsidP="00E375E1" w14:paraId="3436FBB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028FF" w:rsidRPr="006028FF" w:rsidP="006028FF" w14:paraId="4A1F21C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275FC814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P="006028FF" w14:paraId="208B799D" w14:textId="0A1E41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C67" w:rsidRPr="006028FF" w:rsidP="006028FF" w14:paraId="45C60E00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028FF" w:rsidRPr="006028FF" w:rsidP="006028FF" w14:paraId="21C5476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A14" w:rsidP="00A85BD5" w14:paraId="7E554BD2" w14:textId="3210D4A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E2A14" w:rsidRPr="006028FF" w:rsidP="00A85BD5" w14:paraId="703348E7" w14:textId="70E5DEFC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28FF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364890" w:rsidRPr="006028FF" w:rsidP="00364890" w14:paraId="1E625B65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364890" w:rsidRPr="006028FF" w:rsidP="00364890" w14:paraId="3E58EEE9" w14:textId="7777777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:rsidR="00364890" w:rsidP="00364890" w14:paraId="74D2237A" w14:textId="748B8A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28FF"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364890" w:rsidRPr="006028FF" w:rsidP="00364890" w14:paraId="3CA8006C" w14:textId="20E856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85BD5" w:rsidRPr="00B024D5" w:rsidP="00A95F19" w14:paraId="7890AAA3" w14:textId="662164C4">
      <w:pPr>
        <w:pStyle w:val="bbc-bm53ic"/>
        <w:shd w:val="clear" w:color="auto" w:fill="FDFDFD"/>
        <w:spacing w:before="0" w:beforeAutospacing="0" w:after="0" w:afterAutospacing="0" w:line="360" w:lineRule="auto"/>
        <w:ind w:firstLine="1134"/>
        <w:jc w:val="both"/>
      </w:pPr>
      <w:r>
        <w:t>“</w:t>
      </w:r>
      <w:r w:rsidRPr="00B024D5">
        <w:t xml:space="preserve">No dia 24 de abril de 1915, mais de 200 intelectuais e líderes comunitários armênios foram presos pelo governo otomano e posteriormente </w:t>
      </w:r>
      <w:r w:rsidR="00A95F19">
        <w:t xml:space="preserve">executados”. </w:t>
      </w:r>
      <w:r>
        <w:t>Esse</w:t>
      </w:r>
      <w:r w:rsidRPr="00B024D5">
        <w:t xml:space="preserve"> período</w:t>
      </w:r>
      <w:r>
        <w:t xml:space="preserve"> é apontado</w:t>
      </w:r>
      <w:r w:rsidRPr="00B024D5">
        <w:t xml:space="preserve"> como o princípio do que a sociedade armênia considera o genocídio, apesar de outras carnificinas contra essa população terem sucedido na região deste os anos 1890.</w:t>
      </w:r>
    </w:p>
    <w:p w:rsidR="00A85BD5" w:rsidP="00A85BD5" w14:paraId="60EF1B7C" w14:textId="77777777">
      <w:pPr>
        <w:pStyle w:val="bbc-bm53ic"/>
        <w:shd w:val="clear" w:color="auto" w:fill="FDFDFD"/>
        <w:spacing w:before="0" w:beforeAutospacing="0" w:after="0" w:afterAutospacing="0" w:line="360" w:lineRule="auto"/>
        <w:ind w:firstLine="1134"/>
        <w:jc w:val="both"/>
      </w:pPr>
      <w:r w:rsidRPr="00B024D5">
        <w:t>No momento</w:t>
      </w:r>
      <w:r>
        <w:t xml:space="preserve"> que se seguiu o</w:t>
      </w:r>
      <w:r w:rsidRPr="00B024D5">
        <w:t xml:space="preserve"> cárcere dos intelectivos, centenas de milhares de homens, mulheres e crianças armênias foram mortos. Muitos morreram assassinados em suas urbes, de exaustão, fome e sede em marchas forçadas ao longo de províncias desérticas no que hoje é a Síria e em campos de concentração.</w:t>
      </w:r>
    </w:p>
    <w:p w:rsidR="00364890" w:rsidRPr="00A85BD5" w:rsidP="00A85BD5" w14:paraId="142507E1" w14:textId="2384D6FC">
      <w:pPr>
        <w:pStyle w:val="BodyText"/>
        <w:spacing w:line="36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Propagar </w:t>
      </w:r>
      <w:r w:rsidRPr="00B5619C">
        <w:rPr>
          <w:rFonts w:ascii="Times New Roman" w:hAnsi="Times New Roman"/>
        </w:rPr>
        <w:t>solidariedade com o povo armênio e sua diáspora, pois o 107º aniversário do genocídio é celebrado em 24 de abril de 2022, e combater qualquer manifestação que cause</w:t>
      </w:r>
      <w:r>
        <w:rPr>
          <w:rFonts w:ascii="Times New Roman" w:hAnsi="Times New Roman"/>
        </w:rPr>
        <w:t xml:space="preserve"> o</w:t>
      </w:r>
      <w:r w:rsidRPr="00B5619C">
        <w:rPr>
          <w:rFonts w:ascii="Times New Roman" w:hAnsi="Times New Roman"/>
        </w:rPr>
        <w:t xml:space="preserve"> fanatismo ou difunda princípios de negação do delito de genocídio em qualquer de suas formas</w:t>
      </w:r>
      <w:r>
        <w:rPr>
          <w:rFonts w:ascii="Times New Roman" w:hAnsi="Times New Roman"/>
        </w:rPr>
        <w:t>.</w:t>
      </w:r>
      <w:r w:rsidR="00535528">
        <w:rPr>
          <w:rFonts w:ascii="Times New Roman" w:hAnsi="Times New Roman"/>
          <w:szCs w:val="24"/>
        </w:rPr>
        <w:br/>
      </w:r>
      <w:r w:rsidRPr="00A85BD5" w:rsidR="00535528">
        <w:rPr>
          <w:rFonts w:ascii="Times New Roman" w:hAnsi="Times New Roman"/>
          <w:szCs w:val="24"/>
        </w:rPr>
        <w:t xml:space="preserve">O </w:t>
      </w:r>
      <w:r w:rsidRPr="00A85BD5">
        <w:rPr>
          <w:rFonts w:ascii="Times New Roman" w:hAnsi="Times New Roman"/>
          <w:szCs w:val="24"/>
        </w:rPr>
        <w:t>Dia do Reconhecimento e Homenagem às Vítimas do Genocídio Armênio de 1915</w:t>
      </w:r>
      <w:r w:rsidRPr="00A85BD5" w:rsidR="00535528">
        <w:rPr>
          <w:rFonts w:ascii="Times New Roman" w:hAnsi="Times New Roman"/>
          <w:szCs w:val="24"/>
        </w:rPr>
        <w:t xml:space="preserve"> angaria o anseio da comunidade</w:t>
      </w:r>
      <w:r>
        <w:rPr>
          <w:rFonts w:ascii="Times New Roman" w:hAnsi="Times New Roman"/>
          <w:szCs w:val="24"/>
        </w:rPr>
        <w:t xml:space="preserve"> armênia</w:t>
      </w:r>
      <w:r w:rsidRPr="00A85BD5" w:rsidR="00535528">
        <w:rPr>
          <w:rFonts w:ascii="Times New Roman" w:hAnsi="Times New Roman"/>
          <w:szCs w:val="24"/>
        </w:rPr>
        <w:t xml:space="preserve"> e por conta desse nobre papel é que, </w:t>
      </w:r>
      <w:r w:rsidRPr="00A85BD5">
        <w:rPr>
          <w:rFonts w:ascii="Times New Roman" w:hAnsi="Times New Roman"/>
          <w:szCs w:val="24"/>
        </w:rPr>
        <w:t xml:space="preserve">o autor pede o apoio de todos os Vereadores para aprovação do presente Projeto de Lei.  </w:t>
      </w:r>
    </w:p>
    <w:p w:rsidR="007E2A14" w:rsidRPr="006028FF" w:rsidP="002A74B0" w14:paraId="3C2FA846" w14:textId="0DBD437C">
      <w:pPr>
        <w:jc w:val="both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2228850</wp:posOffset>
            </wp:positionH>
            <wp:positionV relativeFrom="paragraph">
              <wp:posOffset>233045</wp:posOffset>
            </wp:positionV>
            <wp:extent cx="1077187" cy="1085215"/>
            <wp:effectExtent l="0" t="0" r="0" b="635"/>
            <wp:wrapNone/>
            <wp:docPr id="8" name="Imagem 8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788157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5BD5" w:rsidP="00A85BD5" w14:paraId="37FAF986" w14:textId="7DAFBF4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>
        <w:rPr>
          <w:rFonts w:ascii="Times New Roman" w:hAnsi="Times New Roman" w:cs="Times New Roman"/>
          <w:sz w:val="24"/>
          <w:szCs w:val="24"/>
        </w:rPr>
        <w:t>09 de maio</w:t>
      </w:r>
      <w:r w:rsidRPr="006028FF">
        <w:rPr>
          <w:rFonts w:ascii="Times New Roman" w:hAnsi="Times New Roman" w:cs="Times New Roman"/>
          <w:sz w:val="24"/>
          <w:szCs w:val="24"/>
        </w:rPr>
        <w:t xml:space="preserve"> de 2022.</w:t>
      </w:r>
    </w:p>
    <w:p w:rsidR="00364890" w:rsidRPr="00A85BD5" w:rsidP="00A85BD5" w14:paraId="03605F20" w14:textId="47699160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6028F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7" o:spid="_x0000_s1026" style="flip:y;mso-wrap-distance-bottom:0;mso-wrap-distance-left:9pt;mso-wrap-distance-right:9pt;mso-wrap-distance-top:0;mso-wrap-style:square;position:absolute;visibility:visible;z-index:251662336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8C15D6" w:rsidRPr="00E219CF" w:rsidP="002A74B0" w14:paraId="609A67C3" w14:textId="1668B14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Sect="00840EAE">
          <w:headerReference w:type="default" r:id="rId6"/>
          <w:footerReference w:type="default" r:id="rId7"/>
          <w:pgSz w:w="11907" w:h="16840" w:code="9"/>
          <w:pgMar w:top="1701" w:right="1701" w:bottom="1418" w:left="1701" w:header="709" w:footer="709" w:gutter="0"/>
          <w:cols w:space="708"/>
          <w:docGrid w:linePitch="360"/>
        </w:sectPr>
      </w:pPr>
      <w:r w:rsidRPr="006028FF">
        <w:rPr>
          <w:rFonts w:ascii="Times New Roman" w:hAnsi="Times New Roman" w:cs="Times New Roman"/>
          <w:b/>
          <w:sz w:val="24"/>
          <w:szCs w:val="24"/>
        </w:rPr>
        <w:t>Mauricio Alonso M</w:t>
      </w:r>
      <w:r w:rsidR="00535528">
        <w:rPr>
          <w:rFonts w:ascii="Times New Roman" w:hAnsi="Times New Roman" w:cs="Times New Roman"/>
          <w:b/>
          <w:sz w:val="24"/>
          <w:szCs w:val="24"/>
        </w:rPr>
        <w:t>urakami</w:t>
      </w:r>
      <w:r w:rsidR="00535528">
        <w:rPr>
          <w:rFonts w:ascii="Times New Roman" w:hAnsi="Times New Roman" w:cs="Times New Roman"/>
          <w:b/>
          <w:sz w:val="24"/>
          <w:szCs w:val="24"/>
        </w:rPr>
        <w:br/>
        <w:t xml:space="preserve">(Mauricio </w:t>
      </w:r>
      <w:r w:rsidR="00A85BD5">
        <w:rPr>
          <w:rFonts w:ascii="Times New Roman" w:hAnsi="Times New Roman" w:cs="Times New Roman"/>
          <w:b/>
          <w:sz w:val="24"/>
          <w:szCs w:val="24"/>
        </w:rPr>
        <w:t>Japa)</w:t>
      </w:r>
      <w:r w:rsidR="00A85BD5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840EAE" w:rsidP="00E219CF" w14:paraId="695FE041" w14:textId="7F70727D">
      <w:pPr>
        <w:jc w:val="both"/>
        <w:rPr>
          <w:rFonts w:cs="Arial (W1)"/>
        </w:rPr>
        <w:sectPr>
          <w:type w:val="continuous"/>
          <w:pgSz w:w="11907" w:h="16840" w:code="9"/>
          <w:pgMar w:top="2835" w:right="1701" w:bottom="1418" w:left="1701" w:header="709" w:footer="709" w:gutter="0"/>
          <w:cols w:space="708"/>
          <w:docGrid w:linePitch="360"/>
        </w:sectPr>
      </w:pPr>
    </w:p>
    <w:p w:rsidR="00B024D5" w:rsidRPr="00B024D5" w:rsidP="00B024D5" w14:paraId="7878A75B" w14:textId="608ED69D">
      <w:pPr>
        <w:pStyle w:val="BodyText3"/>
        <w:spacing w:line="360" w:lineRule="auto"/>
        <w:jc w:val="both"/>
        <w:rPr>
          <w:sz w:val="24"/>
          <w:szCs w:val="24"/>
        </w:rPr>
      </w:pPr>
    </w:p>
    <w:sectPr w:rsidSect="006B47D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47D4" w:rsidP="006B47D4" w14:paraId="3FB14521" w14:textId="5EA76236">
    <w:pPr>
      <w:rPr>
        <w:rFonts w:ascii="Arial" w:eastAsia="Arial" w:hAnsi="Arial" w:cs="Arial"/>
        <w:b/>
        <w:highlight w:val="white"/>
      </w:rPr>
    </w:pPr>
  </w:p>
  <w:p w:rsidR="006B47D4" w14:paraId="2AA4E663" w14:textId="79BF0150">
    <w:pPr>
      <w:pStyle w:val="Footer"/>
    </w:pPr>
  </w:p>
  <w:p w:rsidR="006B47D4" w14:paraId="159872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460EABB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5FE7A0B2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A85BD5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3AB150B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EAE" w14:paraId="03E3615E" w14:textId="484537A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595.45pt;height:841.9pt;margin-top:-72.8pt;margin-left:-74pt;mso-position-horizontal-relative:margin;mso-position-vertical-relative:margin;position:absolute;z-index:-251654144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0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1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2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2E04259"/>
    <w:multiLevelType w:val="hybridMultilevel"/>
    <w:tmpl w:val="329E4794"/>
    <w:lvl w:ilvl="0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5DC2"/>
    <w:rsid w:val="0002031C"/>
    <w:rsid w:val="00074A8F"/>
    <w:rsid w:val="00077D8E"/>
    <w:rsid w:val="00097B46"/>
    <w:rsid w:val="000B0E94"/>
    <w:rsid w:val="000E4E63"/>
    <w:rsid w:val="000F2C3E"/>
    <w:rsid w:val="000F32F8"/>
    <w:rsid w:val="00110DFC"/>
    <w:rsid w:val="00111870"/>
    <w:rsid w:val="0011472B"/>
    <w:rsid w:val="001207F6"/>
    <w:rsid w:val="00152AE5"/>
    <w:rsid w:val="0016746C"/>
    <w:rsid w:val="00175EBE"/>
    <w:rsid w:val="001C044C"/>
    <w:rsid w:val="001F43AA"/>
    <w:rsid w:val="0021444D"/>
    <w:rsid w:val="00217C67"/>
    <w:rsid w:val="00264B63"/>
    <w:rsid w:val="002655B7"/>
    <w:rsid w:val="00265603"/>
    <w:rsid w:val="002757F4"/>
    <w:rsid w:val="0028259C"/>
    <w:rsid w:val="0028764D"/>
    <w:rsid w:val="00290EEA"/>
    <w:rsid w:val="002A74B0"/>
    <w:rsid w:val="002D0AE8"/>
    <w:rsid w:val="002E6D4A"/>
    <w:rsid w:val="002F77FB"/>
    <w:rsid w:val="00300BA6"/>
    <w:rsid w:val="00314FCA"/>
    <w:rsid w:val="003209C7"/>
    <w:rsid w:val="00340E17"/>
    <w:rsid w:val="003475A3"/>
    <w:rsid w:val="003541BF"/>
    <w:rsid w:val="00364890"/>
    <w:rsid w:val="003856E9"/>
    <w:rsid w:val="0039080D"/>
    <w:rsid w:val="003A0CFC"/>
    <w:rsid w:val="003A5FC0"/>
    <w:rsid w:val="003C4995"/>
    <w:rsid w:val="003C7226"/>
    <w:rsid w:val="00410265"/>
    <w:rsid w:val="00426C62"/>
    <w:rsid w:val="0043149E"/>
    <w:rsid w:val="00434F78"/>
    <w:rsid w:val="00437E26"/>
    <w:rsid w:val="00453FB7"/>
    <w:rsid w:val="00483CAC"/>
    <w:rsid w:val="004A6A1F"/>
    <w:rsid w:val="004B11B6"/>
    <w:rsid w:val="004E2A59"/>
    <w:rsid w:val="004F0029"/>
    <w:rsid w:val="00505B9F"/>
    <w:rsid w:val="00523BF7"/>
    <w:rsid w:val="00534B3E"/>
    <w:rsid w:val="00535528"/>
    <w:rsid w:val="005424BC"/>
    <w:rsid w:val="00544707"/>
    <w:rsid w:val="00564E4E"/>
    <w:rsid w:val="00574428"/>
    <w:rsid w:val="0057480D"/>
    <w:rsid w:val="0058165F"/>
    <w:rsid w:val="005B3B1B"/>
    <w:rsid w:val="005C26A2"/>
    <w:rsid w:val="005C3136"/>
    <w:rsid w:val="005E3C8C"/>
    <w:rsid w:val="006028FF"/>
    <w:rsid w:val="00606E2D"/>
    <w:rsid w:val="006336A6"/>
    <w:rsid w:val="00640D06"/>
    <w:rsid w:val="006439EB"/>
    <w:rsid w:val="00645F4A"/>
    <w:rsid w:val="006616BE"/>
    <w:rsid w:val="00661CF0"/>
    <w:rsid w:val="00672752"/>
    <w:rsid w:val="00677D82"/>
    <w:rsid w:val="00686644"/>
    <w:rsid w:val="006A4B7F"/>
    <w:rsid w:val="006A7D1D"/>
    <w:rsid w:val="006B47D4"/>
    <w:rsid w:val="006C7333"/>
    <w:rsid w:val="006D0F20"/>
    <w:rsid w:val="006F3164"/>
    <w:rsid w:val="006F7AA4"/>
    <w:rsid w:val="006F7AAF"/>
    <w:rsid w:val="00742837"/>
    <w:rsid w:val="00765C7D"/>
    <w:rsid w:val="00780D4E"/>
    <w:rsid w:val="0078496D"/>
    <w:rsid w:val="00786133"/>
    <w:rsid w:val="00797863"/>
    <w:rsid w:val="007B66AE"/>
    <w:rsid w:val="007B79CF"/>
    <w:rsid w:val="007C0FD9"/>
    <w:rsid w:val="007D2FBC"/>
    <w:rsid w:val="007D70FB"/>
    <w:rsid w:val="007E2A14"/>
    <w:rsid w:val="007E6808"/>
    <w:rsid w:val="007F7ECF"/>
    <w:rsid w:val="00802C33"/>
    <w:rsid w:val="00816AD2"/>
    <w:rsid w:val="00822BB8"/>
    <w:rsid w:val="008230A3"/>
    <w:rsid w:val="00840EAE"/>
    <w:rsid w:val="00864F5F"/>
    <w:rsid w:val="00895DF2"/>
    <w:rsid w:val="008A1A41"/>
    <w:rsid w:val="008C15D6"/>
    <w:rsid w:val="009070CF"/>
    <w:rsid w:val="00927526"/>
    <w:rsid w:val="00934D0D"/>
    <w:rsid w:val="009405E9"/>
    <w:rsid w:val="00940D85"/>
    <w:rsid w:val="00946E5A"/>
    <w:rsid w:val="009503C4"/>
    <w:rsid w:val="00953635"/>
    <w:rsid w:val="0097673D"/>
    <w:rsid w:val="009D01A5"/>
    <w:rsid w:val="00A020FB"/>
    <w:rsid w:val="00A32FD6"/>
    <w:rsid w:val="00A406A9"/>
    <w:rsid w:val="00A62405"/>
    <w:rsid w:val="00A624FC"/>
    <w:rsid w:val="00A628B4"/>
    <w:rsid w:val="00A72960"/>
    <w:rsid w:val="00A743E2"/>
    <w:rsid w:val="00A7476F"/>
    <w:rsid w:val="00A778CE"/>
    <w:rsid w:val="00A85BD5"/>
    <w:rsid w:val="00A95F19"/>
    <w:rsid w:val="00AA28F3"/>
    <w:rsid w:val="00AE481D"/>
    <w:rsid w:val="00B024D5"/>
    <w:rsid w:val="00B163E3"/>
    <w:rsid w:val="00B4515E"/>
    <w:rsid w:val="00B5619C"/>
    <w:rsid w:val="00BB2E04"/>
    <w:rsid w:val="00BC0B06"/>
    <w:rsid w:val="00BD135D"/>
    <w:rsid w:val="00BD5E2F"/>
    <w:rsid w:val="00BD6C8B"/>
    <w:rsid w:val="00BD7A03"/>
    <w:rsid w:val="00BF1335"/>
    <w:rsid w:val="00C0737D"/>
    <w:rsid w:val="00C14655"/>
    <w:rsid w:val="00C17469"/>
    <w:rsid w:val="00C33C21"/>
    <w:rsid w:val="00C41470"/>
    <w:rsid w:val="00C854A6"/>
    <w:rsid w:val="00C8595A"/>
    <w:rsid w:val="00C92D05"/>
    <w:rsid w:val="00C95B5A"/>
    <w:rsid w:val="00CD1705"/>
    <w:rsid w:val="00CD5877"/>
    <w:rsid w:val="00D03893"/>
    <w:rsid w:val="00D06B9F"/>
    <w:rsid w:val="00D36AA7"/>
    <w:rsid w:val="00D60FC1"/>
    <w:rsid w:val="00D80D69"/>
    <w:rsid w:val="00DA0E17"/>
    <w:rsid w:val="00DB72D8"/>
    <w:rsid w:val="00DD4080"/>
    <w:rsid w:val="00DD7C5C"/>
    <w:rsid w:val="00DE5A35"/>
    <w:rsid w:val="00E11BB8"/>
    <w:rsid w:val="00E206C0"/>
    <w:rsid w:val="00E219CF"/>
    <w:rsid w:val="00E375E1"/>
    <w:rsid w:val="00E57395"/>
    <w:rsid w:val="00E92CF9"/>
    <w:rsid w:val="00E968CF"/>
    <w:rsid w:val="00EB3A6A"/>
    <w:rsid w:val="00EC56EE"/>
    <w:rsid w:val="00ED59E4"/>
    <w:rsid w:val="00ED5F2E"/>
    <w:rsid w:val="00EE2B16"/>
    <w:rsid w:val="00F31261"/>
    <w:rsid w:val="00F36A76"/>
    <w:rsid w:val="00F534EC"/>
    <w:rsid w:val="00F72F43"/>
    <w:rsid w:val="00F82E71"/>
    <w:rsid w:val="00F95CD5"/>
    <w:rsid w:val="00FB2D25"/>
    <w:rsid w:val="00FD3AA3"/>
    <w:rsid w:val="00FD54C9"/>
    <w:rsid w:val="00FD77A0"/>
    <w:rsid w:val="00FE1C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character" w:styleId="Hyperlink">
    <w:name w:val="Hyperlink"/>
    <w:unhideWhenUsed/>
    <w:rsid w:val="00840EAE"/>
    <w:rPr>
      <w:color w:val="0000FF"/>
      <w:u w:val="single"/>
    </w:rPr>
  </w:style>
  <w:style w:type="paragraph" w:styleId="FootnoteText">
    <w:name w:val="footnote text"/>
    <w:basedOn w:val="Normal"/>
    <w:link w:val="TextodenotaderodapChar"/>
    <w:semiHidden/>
    <w:unhideWhenUsed/>
    <w:rsid w:val="00840EAE"/>
    <w:pPr>
      <w:spacing w:after="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semiHidden/>
    <w:rsid w:val="00840EAE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FootnoteReference">
    <w:name w:val="footnote reference"/>
    <w:semiHidden/>
    <w:unhideWhenUsed/>
    <w:rsid w:val="00840EAE"/>
    <w:rPr>
      <w:vertAlign w:val="superscript"/>
    </w:rPr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E92CF9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E92CF9"/>
  </w:style>
  <w:style w:type="paragraph" w:styleId="NoSpacing">
    <w:name w:val="No Spacing"/>
    <w:uiPriority w:val="1"/>
    <w:qFormat/>
    <w:rsid w:val="00E92C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bc-bm53ic">
    <w:name w:val="bbc-bm53ic"/>
    <w:basedOn w:val="Normal"/>
    <w:rsid w:val="00B02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header" Target="header4.xml" /><Relationship Id="rId13" Type="http://schemas.openxmlformats.org/officeDocument/2006/relationships/footer" Target="footer4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4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C47F4-36D3-468C-BD07-28C6489FD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15</cp:revision>
  <cp:lastPrinted>2021-03-09T13:42:00Z</cp:lastPrinted>
  <dcterms:created xsi:type="dcterms:W3CDTF">2022-05-09T13:16:00Z</dcterms:created>
  <dcterms:modified xsi:type="dcterms:W3CDTF">2022-05-09T13:54:00Z</dcterms:modified>
</cp:coreProperties>
</file>