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0080FFEA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7A6C95">
        <w:rPr>
          <w:b/>
        </w:rPr>
        <w:t>5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6C6E6D" w:rsidP="006C6E6D" w14:paraId="66DADFCD" w14:textId="0060646B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E23852">
        <w:rPr>
          <w:b/>
        </w:rPr>
        <w:t>21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>que institui</w:t>
      </w:r>
      <w:r w:rsidRPr="00E23852" w:rsidR="00E23852">
        <w:t xml:space="preserve"> o Programa de Diretrizes Temáticas Trienais da Câmara Municipal de Itapevi e organiza o Plano Anual de Trabalho das Comissões Permanentes da Câmara Municipal de Itapevi e dá outras providênc</w:t>
      </w:r>
      <w:r w:rsidR="00E23852">
        <w:t xml:space="preserve">ias. </w:t>
      </w:r>
    </w:p>
    <w:p w:rsidR="00E23852" w:rsidP="006C6E6D" w14:paraId="482BEC91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A42127" w:rsidP="00C869A2" w14:paraId="3D144E0C" w14:textId="7E92C934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>pretende instituir o</w:t>
      </w:r>
      <w:r w:rsidRPr="0050493C" w:rsidR="0050493C">
        <w:t xml:space="preserve"> </w:t>
      </w:r>
      <w:r w:rsidRPr="0050493C" w:rsidR="0050493C">
        <w:t>Programa de Diretrizes Temáticas Trienais da Câmara Municipal de Itapevi e organiza o Plano Anual de Trabalho das Comissões Permanent</w:t>
      </w:r>
      <w:r w:rsidR="0050493C">
        <w:t>es</w:t>
      </w:r>
      <w:r w:rsidR="00E23852">
        <w:t>.</w:t>
      </w:r>
    </w:p>
    <w:p w:rsidR="00DF4AEF" w:rsidP="00C869A2" w14:paraId="4C9F4D8A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7EDD3499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7A6C95">
      <w:rPr>
        <w:rFonts w:asciiTheme="majorHAnsi" w:eastAsiaTheme="majorEastAsia" w:hAnsiTheme="majorHAnsi" w:cstheme="majorBidi"/>
      </w:rPr>
      <w:t>21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1454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93C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0AC8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26F3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3</cp:revision>
  <cp:lastPrinted>2022-04-18T19:27:00Z</cp:lastPrinted>
  <dcterms:created xsi:type="dcterms:W3CDTF">2026-10-06T19:13:00Z</dcterms:created>
  <dcterms:modified xsi:type="dcterms:W3CDTF">2026-10-07T18:25:00Z</dcterms:modified>
</cp:coreProperties>
</file>