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227/2025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305/2026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“Dispões sobre a autorização do ingresso e a permanência de crianças e adolescentes com Transtorno do Espectro Autista em qualquer local público ou privado, transportando alimentos para consumo próprio e utensílios de uso pessoal.”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a autorização do ingresso e a permanência de crianças e adolescentes com Transtorno do Espectro Autista em qualquer local público ou privado, transportando alimentos para consumo próprio e utensílios de uso pessoal.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ressalvado o seguinte: corrigir na redação final a palavra “Dispões” para “Dispõe”, constante da Ementa.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Vice-Presidente / Relator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Membro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Vice-Presidente / Relator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Membro                              Membro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Vice-Presidente / Relator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 Membro                                  Membro                                  Membro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227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-1080004</wp:posOffset>
          </wp:positionH>
          <wp:positionV relativeFrom="paragraph">
            <wp:posOffset>-1518142</wp:posOffset>
          </wp:positionV>
          <wp:extent cx="7545070" cy="10193760"/>
          <wp:effectExtent b="0" l="0" r="0" t="0"/>
          <wp:wrapNone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3DoliyaUvWPwz/PGUUsK6ZINdw==">CgMxLjAyCWguMmV0OTJwMDIJaC4zMGowemxsOAByITE0aTlGQlZrMDd1YVozenh3OWQxeGZFbDFOMGdUeU4zSA==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