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552/2025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267/2026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“Institui, no âmbito do Município de Itapevi, o Dia Municipal da Prematuridade e a Semana Municipal da Prematuridade,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instituir, no âmbito do Município de Itapevi, o Dia Municipal da Prematuridade e a Semana Municipal da Prematuridade, e dá outras providências.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e contém uma Emenda.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após a apresentação da Emenda,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e Emenda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25 de setembro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 Membro                                Relator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Membro                              Relator 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 Membro                                  Membro                                  Relator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552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-1080009</wp:posOffset>
          </wp:positionH>
          <wp:positionV relativeFrom="paragraph">
            <wp:posOffset>-1518148</wp:posOffset>
          </wp:positionV>
          <wp:extent cx="7545070" cy="1019376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EWFe3mMSt1d0QxxOFa9dRwGOtg==">CgMxLjAyCWguMmV0OTJwMDIJaC4zMGowemxsOAByITFtejdza0N3UG5aNm9EVnhWZDN0Z1l2bHJEbUZfSWltQg==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