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9362A" w14:textId="77777777" w:rsidR="007C5F38" w:rsidRPr="00E20B4F" w:rsidRDefault="007C5F38" w:rsidP="00024E21">
      <w:pPr>
        <w:pStyle w:val="CabealhodoSumrio"/>
        <w:spacing w:before="100" w:beforeAutospacing="1" w:after="100" w:afterAutospacing="1" w:line="360" w:lineRule="auto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</w:p>
    <w:p w14:paraId="125000A1" w14:textId="26C90CAA" w:rsidR="007C5F38" w:rsidRPr="00E20B4F" w:rsidRDefault="00DF2FCE" w:rsidP="00024E21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20B4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PROJETO DE RESOLUÇÃO</w:t>
      </w:r>
      <w:r w:rsidR="007C5F38" w:rsidRPr="00E20B4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Nº </w:t>
      </w:r>
      <w:r w:rsidR="00C52D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021 </w:t>
      </w:r>
      <w:r w:rsidR="007C5F38" w:rsidRPr="00E20B4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</w:t>
      </w:r>
      <w:r w:rsidR="00C52D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="007C5F38" w:rsidRPr="00E20B4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2026</w:t>
      </w:r>
    </w:p>
    <w:p w14:paraId="2234E486" w14:textId="77777777" w:rsidR="007C5F38" w:rsidRPr="00E20B4F" w:rsidRDefault="007C5F38" w:rsidP="00024E2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22FBFD2" w14:textId="440B486B" w:rsidR="007C5F38" w:rsidRPr="00E20B4F" w:rsidRDefault="00024E21" w:rsidP="00024E21">
      <w:pPr>
        <w:spacing w:before="100" w:beforeAutospacing="1" w:after="100" w:afterAutospacing="1" w:line="360" w:lineRule="auto"/>
        <w:ind w:left="255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20B4F">
        <w:rPr>
          <w:rFonts w:ascii="Times New Roman" w:eastAsia="Times New Roman" w:hAnsi="Times New Roman" w:cs="Times New Roman"/>
          <w:color w:val="212529"/>
          <w:sz w:val="24"/>
          <w:szCs w:val="24"/>
          <w:lang w:eastAsia="pt-BR"/>
        </w:rPr>
        <w:t>Institui o Programa de Diretrizes Temáticas Trienais da Câmara Municipal de Itapevi e organiza o Plano Anual de Trabalho das Comissões Permanentes da Câmara Municipal de Itapevi e dá outras providências.</w:t>
      </w:r>
    </w:p>
    <w:p w14:paraId="5CDEBEA4" w14:textId="77777777" w:rsidR="007C5F38" w:rsidRPr="00E20B4F" w:rsidRDefault="007C5F38" w:rsidP="00024E2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</w:p>
    <w:p w14:paraId="78A26723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>Art. 1º Fica instituído as Diretrizes Temáticas Trienais no âmbito da Câmara Municipal de Itapevi, com o objetivo de estabelecer um planejamento estratégico para as ações, programas, eventos e trabalhos legislativos da Casa de Leis a cada triênio, com início no triênio 2027-2029.</w:t>
      </w:r>
    </w:p>
    <w:p w14:paraId="095BAD38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>Art. 2º O planejamento de que trata esta Resolução será norteado por um eixo temático anual específico, que servirá de base orientadora para todas ações e programas na atuação institucional, comunicação social, frentes parlamentares, escola legislativa e demais departamentos.</w:t>
      </w:r>
    </w:p>
    <w:p w14:paraId="1D10E86E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>Art. 3º Fica instituído, no âmbito da Câmara Municipal de Itapevi, o Plano Anual de Trabalho das Comissões Permanentes, instrumento de planejamento, organização, acompanhamento e avaliação das atividades desenvolvidas pelas Comissões Permanentes da Câmara Municipal.</w:t>
      </w:r>
    </w:p>
    <w:p w14:paraId="2CB18872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>Art. 4º O Plano Anual de Trabalho será elaborado individualmente por cada Comissão Permanente para cada exercício legislativo, observadas:</w:t>
      </w:r>
    </w:p>
    <w:p w14:paraId="31CC5801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 xml:space="preserve">I – </w:t>
      </w:r>
      <w:proofErr w:type="gramStart"/>
      <w:r w:rsidRPr="00E20B4F">
        <w:rPr>
          <w:rFonts w:ascii="Times New Roman" w:hAnsi="Times New Roman" w:cs="Times New Roman"/>
          <w:sz w:val="24"/>
          <w:szCs w:val="24"/>
        </w:rPr>
        <w:t>as</w:t>
      </w:r>
      <w:proofErr w:type="gramEnd"/>
      <w:r w:rsidRPr="00E20B4F">
        <w:rPr>
          <w:rFonts w:ascii="Times New Roman" w:hAnsi="Times New Roman" w:cs="Times New Roman"/>
          <w:sz w:val="24"/>
          <w:szCs w:val="24"/>
        </w:rPr>
        <w:t xml:space="preserve"> competências estabelecidas no Regimento Interno;</w:t>
      </w:r>
    </w:p>
    <w:p w14:paraId="0758E8FF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 xml:space="preserve">II – </w:t>
      </w:r>
      <w:proofErr w:type="gramStart"/>
      <w:r w:rsidRPr="00E20B4F">
        <w:rPr>
          <w:rFonts w:ascii="Times New Roman" w:hAnsi="Times New Roman" w:cs="Times New Roman"/>
          <w:sz w:val="24"/>
          <w:szCs w:val="24"/>
        </w:rPr>
        <w:t>as</w:t>
      </w:r>
      <w:proofErr w:type="gramEnd"/>
      <w:r w:rsidRPr="00E20B4F">
        <w:rPr>
          <w:rFonts w:ascii="Times New Roman" w:hAnsi="Times New Roman" w:cs="Times New Roman"/>
          <w:sz w:val="24"/>
          <w:szCs w:val="24"/>
        </w:rPr>
        <w:t xml:space="preserve"> Diretrizes Temáticas Trienais da Câmara Municipal;</w:t>
      </w:r>
    </w:p>
    <w:p w14:paraId="78EF2ED0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lastRenderedPageBreak/>
        <w:t>III – as demandas legislativas, sociais e territoriais do Município;</w:t>
      </w:r>
    </w:p>
    <w:p w14:paraId="0AE3D9E7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 xml:space="preserve">IV – </w:t>
      </w:r>
      <w:proofErr w:type="gramStart"/>
      <w:r w:rsidRPr="00E20B4F">
        <w:rPr>
          <w:rFonts w:ascii="Times New Roman" w:hAnsi="Times New Roman" w:cs="Times New Roman"/>
          <w:sz w:val="24"/>
          <w:szCs w:val="24"/>
        </w:rPr>
        <w:t>as</w:t>
      </w:r>
      <w:proofErr w:type="gramEnd"/>
      <w:r w:rsidRPr="00E20B4F">
        <w:rPr>
          <w:rFonts w:ascii="Times New Roman" w:hAnsi="Times New Roman" w:cs="Times New Roman"/>
          <w:sz w:val="24"/>
          <w:szCs w:val="24"/>
        </w:rPr>
        <w:t xml:space="preserve"> prioridades de fiscalização e acompanhamento das políticas públicas;</w:t>
      </w:r>
    </w:p>
    <w:p w14:paraId="622B1B9A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 xml:space="preserve">V – </w:t>
      </w:r>
      <w:proofErr w:type="gramStart"/>
      <w:r w:rsidRPr="00E20B4F">
        <w:rPr>
          <w:rFonts w:ascii="Times New Roman" w:hAnsi="Times New Roman" w:cs="Times New Roman"/>
          <w:sz w:val="24"/>
          <w:szCs w:val="24"/>
        </w:rPr>
        <w:t>as</w:t>
      </w:r>
      <w:proofErr w:type="gramEnd"/>
      <w:r w:rsidRPr="00E20B4F">
        <w:rPr>
          <w:rFonts w:ascii="Times New Roman" w:hAnsi="Times New Roman" w:cs="Times New Roman"/>
          <w:sz w:val="24"/>
          <w:szCs w:val="24"/>
        </w:rPr>
        <w:t xml:space="preserve"> matérias submetidas à apreciação da Comissão; e</w:t>
      </w:r>
    </w:p>
    <w:p w14:paraId="2ACED4FD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 xml:space="preserve">VI – </w:t>
      </w:r>
      <w:proofErr w:type="gramStart"/>
      <w:r w:rsidRPr="00E20B4F">
        <w:rPr>
          <w:rFonts w:ascii="Times New Roman" w:hAnsi="Times New Roman" w:cs="Times New Roman"/>
          <w:sz w:val="24"/>
          <w:szCs w:val="24"/>
        </w:rPr>
        <w:t>os</w:t>
      </w:r>
      <w:proofErr w:type="gramEnd"/>
      <w:r w:rsidRPr="00E20B4F">
        <w:rPr>
          <w:rFonts w:ascii="Times New Roman" w:hAnsi="Times New Roman" w:cs="Times New Roman"/>
          <w:sz w:val="24"/>
          <w:szCs w:val="24"/>
        </w:rPr>
        <w:t xml:space="preserve"> princípios da legalidade, impessoalidade, moralidade, publicidade, eficiência, transparência e interesse público.</w:t>
      </w:r>
    </w:p>
    <w:p w14:paraId="5BCDB2EB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>Art. 5º O Plano Anual de Trabalho possui natureza de instrumento de planejamento e organização interna, não restringindo a autonomia das Comissões Permanentes para deliberar sobre matérias, realizar diligências, convocar ou convidar autoridades, solicitar informações, realizar audiências, visitas técnicas e demais atividades previstas no Regimento Interno.</w:t>
      </w:r>
    </w:p>
    <w:p w14:paraId="7D55C65F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>Parágrafo único. A existência de Plano Anual de Trabalho não impedirá a Comissão de realizar atividades não previstas originalmente, quando decorrentes de fatos supervenientes ou de demandas relevantes de interesse público.</w:t>
      </w:r>
    </w:p>
    <w:p w14:paraId="5EA82505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>Art. 6º Os Planos Anuais de Trabalho deverão observar, como diretriz institucional mínima, o eixo temático estabelecido para cada exercício pelas Diretrizes Temáticas Trienais da Câmara Municipal de Itapevi.</w:t>
      </w:r>
    </w:p>
    <w:p w14:paraId="73A10A0E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>§ 1º As Diretrizes Temáticas Trienais constituem orientação institucional comum, cabendo a cada Comissão definir, com autonomia, a forma de aplicação do eixo anual às suas respectivas competências.</w:t>
      </w:r>
    </w:p>
    <w:p w14:paraId="040BA1BE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>§ 2º O eixo temático anual não poderá ser interpretado como limitação das competências regimentais das Comissões.</w:t>
      </w:r>
    </w:p>
    <w:p w14:paraId="4D48A3CE" w14:textId="5C24B35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 xml:space="preserve">Art. </w:t>
      </w:r>
      <w:r w:rsidR="00CA2B5D">
        <w:rPr>
          <w:rFonts w:ascii="Times New Roman" w:hAnsi="Times New Roman" w:cs="Times New Roman"/>
          <w:sz w:val="24"/>
          <w:szCs w:val="24"/>
        </w:rPr>
        <w:t>7</w:t>
      </w:r>
      <w:r w:rsidRPr="00E20B4F">
        <w:rPr>
          <w:rFonts w:ascii="Times New Roman" w:hAnsi="Times New Roman" w:cs="Times New Roman"/>
          <w:sz w:val="24"/>
          <w:szCs w:val="24"/>
        </w:rPr>
        <w:t>º O Plano Anual de Trabalho deverá conter, no mínimo:</w:t>
      </w:r>
    </w:p>
    <w:p w14:paraId="76C0EEFF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 xml:space="preserve">I – </w:t>
      </w:r>
      <w:proofErr w:type="gramStart"/>
      <w:r w:rsidRPr="00E20B4F">
        <w:rPr>
          <w:rFonts w:ascii="Times New Roman" w:hAnsi="Times New Roman" w:cs="Times New Roman"/>
          <w:sz w:val="24"/>
          <w:szCs w:val="24"/>
        </w:rPr>
        <w:t>identificação</w:t>
      </w:r>
      <w:proofErr w:type="gramEnd"/>
      <w:r w:rsidRPr="00E20B4F">
        <w:rPr>
          <w:rFonts w:ascii="Times New Roman" w:hAnsi="Times New Roman" w:cs="Times New Roman"/>
          <w:sz w:val="24"/>
          <w:szCs w:val="24"/>
        </w:rPr>
        <w:t xml:space="preserve"> da Comissão;</w:t>
      </w:r>
    </w:p>
    <w:p w14:paraId="629DB2AF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 xml:space="preserve">II – </w:t>
      </w:r>
      <w:proofErr w:type="gramStart"/>
      <w:r w:rsidRPr="00E20B4F">
        <w:rPr>
          <w:rFonts w:ascii="Times New Roman" w:hAnsi="Times New Roman" w:cs="Times New Roman"/>
          <w:sz w:val="24"/>
          <w:szCs w:val="24"/>
        </w:rPr>
        <w:t>diagnóstico</w:t>
      </w:r>
      <w:proofErr w:type="gramEnd"/>
      <w:r w:rsidRPr="00E20B4F">
        <w:rPr>
          <w:rFonts w:ascii="Times New Roman" w:hAnsi="Times New Roman" w:cs="Times New Roman"/>
          <w:sz w:val="24"/>
          <w:szCs w:val="24"/>
        </w:rPr>
        <w:t xml:space="preserve"> ou identificação dos principais temas de sua competência;</w:t>
      </w:r>
    </w:p>
    <w:p w14:paraId="56DCBBC4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lastRenderedPageBreak/>
        <w:t>III – eixo temático anual;</w:t>
      </w:r>
    </w:p>
    <w:p w14:paraId="6D1C2006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 xml:space="preserve">IV – </w:t>
      </w:r>
      <w:proofErr w:type="gramStart"/>
      <w:r w:rsidRPr="00E20B4F">
        <w:rPr>
          <w:rFonts w:ascii="Times New Roman" w:hAnsi="Times New Roman" w:cs="Times New Roman"/>
          <w:sz w:val="24"/>
          <w:szCs w:val="24"/>
        </w:rPr>
        <w:t>prioridades</w:t>
      </w:r>
      <w:proofErr w:type="gramEnd"/>
      <w:r w:rsidRPr="00E20B4F">
        <w:rPr>
          <w:rFonts w:ascii="Times New Roman" w:hAnsi="Times New Roman" w:cs="Times New Roman"/>
          <w:sz w:val="24"/>
          <w:szCs w:val="24"/>
        </w:rPr>
        <w:t xml:space="preserve"> de atuação;</w:t>
      </w:r>
    </w:p>
    <w:p w14:paraId="6B056D81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 xml:space="preserve">V – </w:t>
      </w:r>
      <w:proofErr w:type="gramStart"/>
      <w:r w:rsidRPr="00E20B4F">
        <w:rPr>
          <w:rFonts w:ascii="Times New Roman" w:hAnsi="Times New Roman" w:cs="Times New Roman"/>
          <w:sz w:val="24"/>
          <w:szCs w:val="24"/>
        </w:rPr>
        <w:t>objetivos</w:t>
      </w:r>
      <w:proofErr w:type="gramEnd"/>
      <w:r w:rsidRPr="00E20B4F">
        <w:rPr>
          <w:rFonts w:ascii="Times New Roman" w:hAnsi="Times New Roman" w:cs="Times New Roman"/>
          <w:sz w:val="24"/>
          <w:szCs w:val="24"/>
        </w:rPr>
        <w:t>;</w:t>
      </w:r>
    </w:p>
    <w:p w14:paraId="4A46DA49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 xml:space="preserve">VI – </w:t>
      </w:r>
      <w:proofErr w:type="gramStart"/>
      <w:r w:rsidRPr="00E20B4F">
        <w:rPr>
          <w:rFonts w:ascii="Times New Roman" w:hAnsi="Times New Roman" w:cs="Times New Roman"/>
          <w:sz w:val="24"/>
          <w:szCs w:val="24"/>
        </w:rPr>
        <w:t>ações</w:t>
      </w:r>
      <w:proofErr w:type="gramEnd"/>
      <w:r w:rsidRPr="00E20B4F">
        <w:rPr>
          <w:rFonts w:ascii="Times New Roman" w:hAnsi="Times New Roman" w:cs="Times New Roman"/>
          <w:sz w:val="24"/>
          <w:szCs w:val="24"/>
        </w:rPr>
        <w:t xml:space="preserve"> e atividades previstas;</w:t>
      </w:r>
    </w:p>
    <w:p w14:paraId="1B30F611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>VII – políticas públicas, programas, contratos ou matérias a serem acompanhados;</w:t>
      </w:r>
    </w:p>
    <w:p w14:paraId="405CB1F5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>VIII – previsão de audiências públicas, visitas técnicas, diligências e reuniões temáticas;</w:t>
      </w:r>
    </w:p>
    <w:p w14:paraId="3F23DE4B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>IX – órgãos, entidades ou segmentos sociais que poderão ser convidados;</w:t>
      </w:r>
    </w:p>
    <w:p w14:paraId="5E13B85D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 xml:space="preserve">X – </w:t>
      </w:r>
      <w:proofErr w:type="gramStart"/>
      <w:r w:rsidRPr="00E20B4F">
        <w:rPr>
          <w:rFonts w:ascii="Times New Roman" w:hAnsi="Times New Roman" w:cs="Times New Roman"/>
          <w:sz w:val="24"/>
          <w:szCs w:val="24"/>
        </w:rPr>
        <w:t>cronograma</w:t>
      </w:r>
      <w:proofErr w:type="gramEnd"/>
      <w:r w:rsidRPr="00E20B4F">
        <w:rPr>
          <w:rFonts w:ascii="Times New Roman" w:hAnsi="Times New Roman" w:cs="Times New Roman"/>
          <w:sz w:val="24"/>
          <w:szCs w:val="24"/>
        </w:rPr>
        <w:t xml:space="preserve"> estimativo;</w:t>
      </w:r>
    </w:p>
    <w:p w14:paraId="3594AED0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>XI – indicadores ou critérios de acompanhamento;</w:t>
      </w:r>
    </w:p>
    <w:p w14:paraId="2403320A" w14:textId="7DABB531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 xml:space="preserve">Art. </w:t>
      </w:r>
      <w:r w:rsidR="005928B1">
        <w:rPr>
          <w:rFonts w:ascii="Times New Roman" w:hAnsi="Times New Roman" w:cs="Times New Roman"/>
          <w:sz w:val="24"/>
          <w:szCs w:val="24"/>
        </w:rPr>
        <w:t>8</w:t>
      </w:r>
      <w:r w:rsidRPr="00E20B4F">
        <w:rPr>
          <w:rFonts w:ascii="Times New Roman" w:hAnsi="Times New Roman" w:cs="Times New Roman"/>
          <w:sz w:val="24"/>
          <w:szCs w:val="24"/>
        </w:rPr>
        <w:t>º O Plano Anual será elaborado e aprovado pela própria Comissão, mediante deliberação registrada em ata.</w:t>
      </w:r>
    </w:p>
    <w:p w14:paraId="29A36042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>§ 1º A aprovação do Plano Anual independe de autorização da Mesa Diretora.</w:t>
      </w:r>
    </w:p>
    <w:p w14:paraId="7BB08769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>§ 2º A Mesa Diretora prestará o apoio administrativo necessário à execução das atividades, observado o planejamento institucional, a disponibilidade orçamentária e financeira e as regras administrativas da Câmara.</w:t>
      </w:r>
    </w:p>
    <w:p w14:paraId="3E47B344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>§ 3º A Comissão poderá revisar seu Plano Anual durante o exercício, mediante justificativa registrada em ata.</w:t>
      </w:r>
    </w:p>
    <w:p w14:paraId="5FB515BD" w14:textId="6FA5C7B2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 xml:space="preserve">Art. </w:t>
      </w:r>
      <w:r w:rsidR="005928B1">
        <w:rPr>
          <w:rFonts w:ascii="Times New Roman" w:hAnsi="Times New Roman" w:cs="Times New Roman"/>
          <w:sz w:val="24"/>
          <w:szCs w:val="24"/>
        </w:rPr>
        <w:t>9</w:t>
      </w:r>
      <w:r w:rsidRPr="00E20B4F">
        <w:rPr>
          <w:rFonts w:ascii="Times New Roman" w:hAnsi="Times New Roman" w:cs="Times New Roman"/>
          <w:sz w:val="24"/>
          <w:szCs w:val="24"/>
        </w:rPr>
        <w:t>º O planejamento das Comissões observará integralmente o Regimento Interno da Câmara Municipal de Itapevi, especialmente as disposições relativas à composição, funcionamento, reuniões, quórum, assessoramento e participação de terceiros.</w:t>
      </w:r>
    </w:p>
    <w:p w14:paraId="410FCBED" w14:textId="32AD0905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 xml:space="preserve">Art. </w:t>
      </w:r>
      <w:r w:rsidR="005928B1">
        <w:rPr>
          <w:rFonts w:ascii="Times New Roman" w:hAnsi="Times New Roman" w:cs="Times New Roman"/>
          <w:sz w:val="24"/>
          <w:szCs w:val="24"/>
        </w:rPr>
        <w:t>10</w:t>
      </w:r>
      <w:r w:rsidRPr="00E20B4F">
        <w:rPr>
          <w:rFonts w:ascii="Times New Roman" w:hAnsi="Times New Roman" w:cs="Times New Roman"/>
          <w:sz w:val="24"/>
          <w:szCs w:val="24"/>
        </w:rPr>
        <w:t xml:space="preserve"> As Comissões poderão desenvolver, entre outras, as seguintes atividades:</w:t>
      </w:r>
    </w:p>
    <w:p w14:paraId="160F1BE4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lastRenderedPageBreak/>
        <w:t>I – análise e emissão de pareceres;</w:t>
      </w:r>
    </w:p>
    <w:p w14:paraId="5CADB6AB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 xml:space="preserve">II – </w:t>
      </w:r>
      <w:proofErr w:type="gramStart"/>
      <w:r w:rsidRPr="00E20B4F">
        <w:rPr>
          <w:rFonts w:ascii="Times New Roman" w:hAnsi="Times New Roman" w:cs="Times New Roman"/>
          <w:sz w:val="24"/>
          <w:szCs w:val="24"/>
        </w:rPr>
        <w:t>acompanhamento</w:t>
      </w:r>
      <w:proofErr w:type="gramEnd"/>
      <w:r w:rsidRPr="00E20B4F">
        <w:rPr>
          <w:rFonts w:ascii="Times New Roman" w:hAnsi="Times New Roman" w:cs="Times New Roman"/>
          <w:sz w:val="24"/>
          <w:szCs w:val="24"/>
        </w:rPr>
        <w:t xml:space="preserve"> de políticas públicas;</w:t>
      </w:r>
    </w:p>
    <w:p w14:paraId="0F45AAD8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>III – fiscalização de atos e programas governamentais;</w:t>
      </w:r>
    </w:p>
    <w:p w14:paraId="7EB7E972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 xml:space="preserve">IV – </w:t>
      </w:r>
      <w:proofErr w:type="gramStart"/>
      <w:r w:rsidRPr="00E20B4F">
        <w:rPr>
          <w:rFonts w:ascii="Times New Roman" w:hAnsi="Times New Roman" w:cs="Times New Roman"/>
          <w:sz w:val="24"/>
          <w:szCs w:val="24"/>
        </w:rPr>
        <w:t>análise</w:t>
      </w:r>
      <w:proofErr w:type="gramEnd"/>
      <w:r w:rsidRPr="00E20B4F">
        <w:rPr>
          <w:rFonts w:ascii="Times New Roman" w:hAnsi="Times New Roman" w:cs="Times New Roman"/>
          <w:sz w:val="24"/>
          <w:szCs w:val="24"/>
        </w:rPr>
        <w:t xml:space="preserve"> de informações constantes de portais de transparência;</w:t>
      </w:r>
    </w:p>
    <w:p w14:paraId="7083B777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 xml:space="preserve">V – </w:t>
      </w:r>
      <w:proofErr w:type="gramStart"/>
      <w:r w:rsidRPr="00E20B4F">
        <w:rPr>
          <w:rFonts w:ascii="Times New Roman" w:hAnsi="Times New Roman" w:cs="Times New Roman"/>
          <w:sz w:val="24"/>
          <w:szCs w:val="24"/>
        </w:rPr>
        <w:t>requerimento</w:t>
      </w:r>
      <w:proofErr w:type="gramEnd"/>
      <w:r w:rsidRPr="00E20B4F">
        <w:rPr>
          <w:rFonts w:ascii="Times New Roman" w:hAnsi="Times New Roman" w:cs="Times New Roman"/>
          <w:sz w:val="24"/>
          <w:szCs w:val="24"/>
        </w:rPr>
        <w:t xml:space="preserve"> de informações;</w:t>
      </w:r>
    </w:p>
    <w:p w14:paraId="08225695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 xml:space="preserve">VI – </w:t>
      </w:r>
      <w:proofErr w:type="gramStart"/>
      <w:r w:rsidRPr="00E20B4F">
        <w:rPr>
          <w:rFonts w:ascii="Times New Roman" w:hAnsi="Times New Roman" w:cs="Times New Roman"/>
          <w:sz w:val="24"/>
          <w:szCs w:val="24"/>
        </w:rPr>
        <w:t>audiências</w:t>
      </w:r>
      <w:proofErr w:type="gramEnd"/>
      <w:r w:rsidRPr="00E20B4F">
        <w:rPr>
          <w:rFonts w:ascii="Times New Roman" w:hAnsi="Times New Roman" w:cs="Times New Roman"/>
          <w:sz w:val="24"/>
          <w:szCs w:val="24"/>
        </w:rPr>
        <w:t xml:space="preserve"> públicas;</w:t>
      </w:r>
    </w:p>
    <w:p w14:paraId="28603978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>VII – reuniões temáticas;</w:t>
      </w:r>
    </w:p>
    <w:p w14:paraId="0E8971EF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>VIII – visitas técnicas;</w:t>
      </w:r>
    </w:p>
    <w:p w14:paraId="49E4A049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 xml:space="preserve">IX – </w:t>
      </w:r>
      <w:proofErr w:type="gramStart"/>
      <w:r w:rsidRPr="00E20B4F">
        <w:rPr>
          <w:rFonts w:ascii="Times New Roman" w:hAnsi="Times New Roman" w:cs="Times New Roman"/>
          <w:sz w:val="24"/>
          <w:szCs w:val="24"/>
        </w:rPr>
        <w:t>diligências</w:t>
      </w:r>
      <w:proofErr w:type="gramEnd"/>
      <w:r w:rsidRPr="00E20B4F">
        <w:rPr>
          <w:rFonts w:ascii="Times New Roman" w:hAnsi="Times New Roman" w:cs="Times New Roman"/>
          <w:sz w:val="24"/>
          <w:szCs w:val="24"/>
        </w:rPr>
        <w:t>;</w:t>
      </w:r>
    </w:p>
    <w:p w14:paraId="62E5EEC7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 xml:space="preserve">X – </w:t>
      </w:r>
      <w:proofErr w:type="gramStart"/>
      <w:r w:rsidRPr="00E20B4F">
        <w:rPr>
          <w:rFonts w:ascii="Times New Roman" w:hAnsi="Times New Roman" w:cs="Times New Roman"/>
          <w:sz w:val="24"/>
          <w:szCs w:val="24"/>
        </w:rPr>
        <w:t>estudos</w:t>
      </w:r>
      <w:proofErr w:type="gramEnd"/>
      <w:r w:rsidRPr="00E20B4F">
        <w:rPr>
          <w:rFonts w:ascii="Times New Roman" w:hAnsi="Times New Roman" w:cs="Times New Roman"/>
          <w:sz w:val="24"/>
          <w:szCs w:val="24"/>
        </w:rPr>
        <w:t xml:space="preserve"> técnicos;</w:t>
      </w:r>
    </w:p>
    <w:p w14:paraId="2A063577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>XI – consultas públicas;</w:t>
      </w:r>
    </w:p>
    <w:p w14:paraId="4B3DE2A8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>XII – reuniões com órgãos públicos e entidades da sociedade civil;</w:t>
      </w:r>
    </w:p>
    <w:p w14:paraId="202D2B5D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>XIII – acompanhamento de indicadores;</w:t>
      </w:r>
    </w:p>
    <w:p w14:paraId="7FE54A93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>XIV – outras atividades previstas no Regimento Interno.</w:t>
      </w:r>
    </w:p>
    <w:p w14:paraId="1A6AE7A9" w14:textId="10A88F6F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>Art. 1</w:t>
      </w:r>
      <w:r w:rsidR="00A403E2">
        <w:rPr>
          <w:rFonts w:ascii="Times New Roman" w:hAnsi="Times New Roman" w:cs="Times New Roman"/>
          <w:sz w:val="24"/>
          <w:szCs w:val="24"/>
        </w:rPr>
        <w:t>1</w:t>
      </w:r>
      <w:r w:rsidRPr="00E20B4F">
        <w:rPr>
          <w:rFonts w:ascii="Times New Roman" w:hAnsi="Times New Roman" w:cs="Times New Roman"/>
          <w:sz w:val="24"/>
          <w:szCs w:val="24"/>
        </w:rPr>
        <w:t xml:space="preserve"> O Plano Anual de Trabalho será elaborado por todas as Comissões Permanentes da Câmara Municipal, compreendendo:</w:t>
      </w:r>
    </w:p>
    <w:p w14:paraId="1245F46C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>I – Justiça e Redação;</w:t>
      </w:r>
    </w:p>
    <w:p w14:paraId="20BE854A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>II – Finanças e Orçamento;</w:t>
      </w:r>
    </w:p>
    <w:p w14:paraId="480C283F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>III – Ordem Social e Econômica e Serviços Públicos;</w:t>
      </w:r>
    </w:p>
    <w:p w14:paraId="1570D3DA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lastRenderedPageBreak/>
        <w:t>IV – Fiscalização e Controle;</w:t>
      </w:r>
    </w:p>
    <w:p w14:paraId="247C194E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>V – Segurança Pública, Ciência e Tecnologia;</w:t>
      </w:r>
    </w:p>
    <w:p w14:paraId="47E38746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>VI – Direitos Humanos, Igualdade Racial, Defesa da Criança, do Adolescente, do Idoso, da Pessoa com Deficiência, do Refugiado e do Imigrante;</w:t>
      </w:r>
    </w:p>
    <w:p w14:paraId="7EC95C45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>VII – Meio Ambiente e Defesa dos Animais;</w:t>
      </w:r>
    </w:p>
    <w:p w14:paraId="0DE5CD16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>VIII – Legislação Participativa;</w:t>
      </w:r>
    </w:p>
    <w:p w14:paraId="43F98EF2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>IX – Ética e Decoro Parlamentar;</w:t>
      </w:r>
    </w:p>
    <w:p w14:paraId="57EDBE77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>X – Educação, Cultura, Esporte e Juventude;</w:t>
      </w:r>
    </w:p>
    <w:p w14:paraId="56B0D24A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>XI – Regularização Fundiária Urbana de Edifícios, Loteamentos e Conjuntos de Empreendimentos Habitacionais;</w:t>
      </w:r>
    </w:p>
    <w:p w14:paraId="588052C6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>XII – Saúde e Bem-Estar;</w:t>
      </w:r>
    </w:p>
    <w:p w14:paraId="4DF4535D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>XIII – Defesa dos Direitos das Mulheres.</w:t>
      </w:r>
    </w:p>
    <w:p w14:paraId="312F0408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>Parágrafo único. Eventual criação, alteração, fusão, extinção ou modificação das Comissões Permanentes produzirá os correspondentes efeitos sobre o Plano Anual de Trabalho.</w:t>
      </w:r>
    </w:p>
    <w:p w14:paraId="73BA7A4C" w14:textId="0798E3EC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>Art. 1</w:t>
      </w:r>
      <w:r w:rsidR="00A403E2">
        <w:rPr>
          <w:rFonts w:ascii="Times New Roman" w:hAnsi="Times New Roman" w:cs="Times New Roman"/>
          <w:sz w:val="24"/>
          <w:szCs w:val="24"/>
        </w:rPr>
        <w:t>2</w:t>
      </w:r>
      <w:r w:rsidRPr="00E20B4F">
        <w:rPr>
          <w:rFonts w:ascii="Times New Roman" w:hAnsi="Times New Roman" w:cs="Times New Roman"/>
          <w:sz w:val="24"/>
          <w:szCs w:val="24"/>
        </w:rPr>
        <w:t xml:space="preserve"> Ao término de cada exercício, até a última sessão legislativa, cada Comissão elaborará Relatório Anual de Atividades, contendo:</w:t>
      </w:r>
    </w:p>
    <w:p w14:paraId="53F2BC2E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 xml:space="preserve">I – </w:t>
      </w:r>
      <w:proofErr w:type="gramStart"/>
      <w:r w:rsidRPr="00E20B4F">
        <w:rPr>
          <w:rFonts w:ascii="Times New Roman" w:hAnsi="Times New Roman" w:cs="Times New Roman"/>
          <w:sz w:val="24"/>
          <w:szCs w:val="24"/>
        </w:rPr>
        <w:t>síntese</w:t>
      </w:r>
      <w:proofErr w:type="gramEnd"/>
      <w:r w:rsidRPr="00E20B4F">
        <w:rPr>
          <w:rFonts w:ascii="Times New Roman" w:hAnsi="Times New Roman" w:cs="Times New Roman"/>
          <w:sz w:val="24"/>
          <w:szCs w:val="24"/>
        </w:rPr>
        <w:t xml:space="preserve"> das atividades realizadas;</w:t>
      </w:r>
    </w:p>
    <w:p w14:paraId="222A133E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 xml:space="preserve">II – </w:t>
      </w:r>
      <w:proofErr w:type="gramStart"/>
      <w:r w:rsidRPr="00E20B4F">
        <w:rPr>
          <w:rFonts w:ascii="Times New Roman" w:hAnsi="Times New Roman" w:cs="Times New Roman"/>
          <w:sz w:val="24"/>
          <w:szCs w:val="24"/>
        </w:rPr>
        <w:t>audiências</w:t>
      </w:r>
      <w:proofErr w:type="gramEnd"/>
      <w:r w:rsidRPr="00E20B4F">
        <w:rPr>
          <w:rFonts w:ascii="Times New Roman" w:hAnsi="Times New Roman" w:cs="Times New Roman"/>
          <w:sz w:val="24"/>
          <w:szCs w:val="24"/>
        </w:rPr>
        <w:t xml:space="preserve"> públicas;</w:t>
      </w:r>
    </w:p>
    <w:p w14:paraId="433105E5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>III – visitas técnicas;</w:t>
      </w:r>
    </w:p>
    <w:p w14:paraId="4ABBE9E6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 xml:space="preserve">IV – </w:t>
      </w:r>
      <w:proofErr w:type="gramStart"/>
      <w:r w:rsidRPr="00E20B4F">
        <w:rPr>
          <w:rFonts w:ascii="Times New Roman" w:hAnsi="Times New Roman" w:cs="Times New Roman"/>
          <w:sz w:val="24"/>
          <w:szCs w:val="24"/>
        </w:rPr>
        <w:t>diligências</w:t>
      </w:r>
      <w:proofErr w:type="gramEnd"/>
      <w:r w:rsidRPr="00E20B4F">
        <w:rPr>
          <w:rFonts w:ascii="Times New Roman" w:hAnsi="Times New Roman" w:cs="Times New Roman"/>
          <w:sz w:val="24"/>
          <w:szCs w:val="24"/>
        </w:rPr>
        <w:t>;</w:t>
      </w:r>
    </w:p>
    <w:p w14:paraId="2608EFE0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lastRenderedPageBreak/>
        <w:t xml:space="preserve">V – </w:t>
      </w:r>
      <w:proofErr w:type="gramStart"/>
      <w:r w:rsidRPr="00E20B4F">
        <w:rPr>
          <w:rFonts w:ascii="Times New Roman" w:hAnsi="Times New Roman" w:cs="Times New Roman"/>
          <w:sz w:val="24"/>
          <w:szCs w:val="24"/>
        </w:rPr>
        <w:t>participação</w:t>
      </w:r>
      <w:proofErr w:type="gramEnd"/>
      <w:r w:rsidRPr="00E20B4F">
        <w:rPr>
          <w:rFonts w:ascii="Times New Roman" w:hAnsi="Times New Roman" w:cs="Times New Roman"/>
          <w:sz w:val="24"/>
          <w:szCs w:val="24"/>
        </w:rPr>
        <w:t xml:space="preserve"> social;</w:t>
      </w:r>
    </w:p>
    <w:p w14:paraId="3FE73D9D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 xml:space="preserve">VI – </w:t>
      </w:r>
      <w:proofErr w:type="gramStart"/>
      <w:r w:rsidRPr="00E20B4F">
        <w:rPr>
          <w:rFonts w:ascii="Times New Roman" w:hAnsi="Times New Roman" w:cs="Times New Roman"/>
          <w:sz w:val="24"/>
          <w:szCs w:val="24"/>
        </w:rPr>
        <w:t>resultados</w:t>
      </w:r>
      <w:proofErr w:type="gramEnd"/>
      <w:r w:rsidRPr="00E20B4F">
        <w:rPr>
          <w:rFonts w:ascii="Times New Roman" w:hAnsi="Times New Roman" w:cs="Times New Roman"/>
          <w:sz w:val="24"/>
          <w:szCs w:val="24"/>
        </w:rPr>
        <w:t xml:space="preserve"> obtidos;</w:t>
      </w:r>
    </w:p>
    <w:p w14:paraId="253396B0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>VII – avaliação do eixo temático anual;</w:t>
      </w:r>
    </w:p>
    <w:p w14:paraId="4728B1EF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>VIII – recomendações e prioridades para o exercício seguinte.</w:t>
      </w:r>
    </w:p>
    <w:p w14:paraId="7F3EE90C" w14:textId="52AF45E8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>Art. 1</w:t>
      </w:r>
      <w:r w:rsidR="00A403E2">
        <w:rPr>
          <w:rFonts w:ascii="Times New Roman" w:hAnsi="Times New Roman" w:cs="Times New Roman"/>
          <w:sz w:val="24"/>
          <w:szCs w:val="24"/>
        </w:rPr>
        <w:t>3</w:t>
      </w:r>
      <w:r w:rsidRPr="00E20B4F">
        <w:rPr>
          <w:rFonts w:ascii="Times New Roman" w:hAnsi="Times New Roman" w:cs="Times New Roman"/>
          <w:sz w:val="24"/>
          <w:szCs w:val="24"/>
        </w:rPr>
        <w:t>. O Relatório Anual será submetido à Comissão para conhecimento e deliberação, com registro em ata.</w:t>
      </w:r>
    </w:p>
    <w:p w14:paraId="2B7F7FA6" w14:textId="5C73A67F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>Art. 1</w:t>
      </w:r>
      <w:r w:rsidR="00A403E2">
        <w:rPr>
          <w:rFonts w:ascii="Times New Roman" w:hAnsi="Times New Roman" w:cs="Times New Roman"/>
          <w:sz w:val="24"/>
          <w:szCs w:val="24"/>
        </w:rPr>
        <w:t>4</w:t>
      </w:r>
      <w:r w:rsidRPr="00E20B4F">
        <w:rPr>
          <w:rFonts w:ascii="Times New Roman" w:hAnsi="Times New Roman" w:cs="Times New Roman"/>
          <w:sz w:val="24"/>
          <w:szCs w:val="24"/>
        </w:rPr>
        <w:t>. O Relatório será encaminhado à Presidência e disponibilizado no sítio eletrônico oficial da Câmara, observadas as normas de transparência e proteção de dados pessoais.</w:t>
      </w:r>
    </w:p>
    <w:p w14:paraId="5550DABF" w14:textId="06B8B6C4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>Art. 1</w:t>
      </w:r>
      <w:r w:rsidR="00A403E2">
        <w:rPr>
          <w:rFonts w:ascii="Times New Roman" w:hAnsi="Times New Roman" w:cs="Times New Roman"/>
          <w:sz w:val="24"/>
          <w:szCs w:val="24"/>
        </w:rPr>
        <w:t>5</w:t>
      </w:r>
      <w:r w:rsidRPr="00E20B4F">
        <w:rPr>
          <w:rFonts w:ascii="Times New Roman" w:hAnsi="Times New Roman" w:cs="Times New Roman"/>
          <w:sz w:val="24"/>
          <w:szCs w:val="24"/>
        </w:rPr>
        <w:t>. As Comissões poderão desenvolver atividades conjuntas quando a matéria envolver competências comuns ou complementares.</w:t>
      </w:r>
    </w:p>
    <w:p w14:paraId="19E4AA41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>§ 1º Poderão ser realizadas reuniões conjuntas, audiências públicas, visitas técnicas, estudos, diligências e grupos de trabalho.</w:t>
      </w:r>
    </w:p>
    <w:p w14:paraId="7464436C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>§ 2º A atuação conjunta não prejudicará as competências próprias de cada Comissão.</w:t>
      </w:r>
    </w:p>
    <w:p w14:paraId="457B6ED6" w14:textId="2A437512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>Art. 1</w:t>
      </w:r>
      <w:r w:rsidR="00A403E2">
        <w:rPr>
          <w:rFonts w:ascii="Times New Roman" w:hAnsi="Times New Roman" w:cs="Times New Roman"/>
          <w:sz w:val="24"/>
          <w:szCs w:val="24"/>
        </w:rPr>
        <w:t>6</w:t>
      </w:r>
      <w:r w:rsidRPr="00E20B4F">
        <w:rPr>
          <w:rFonts w:ascii="Times New Roman" w:hAnsi="Times New Roman" w:cs="Times New Roman"/>
          <w:sz w:val="24"/>
          <w:szCs w:val="24"/>
        </w:rPr>
        <w:t>. As Comissões poderão estabelecer interlocução institucional com órgãos públicos, universidades, instituições de pesquisa, conselhos municipais, entidades da sociedade civil, órgãos de controle e demais instituições, observadas as competências legais e regimentais da Câmara.</w:t>
      </w:r>
    </w:p>
    <w:p w14:paraId="2B57D119" w14:textId="035D30E2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>Art. 1</w:t>
      </w:r>
      <w:r w:rsidR="00A403E2">
        <w:rPr>
          <w:rFonts w:ascii="Times New Roman" w:hAnsi="Times New Roman" w:cs="Times New Roman"/>
          <w:sz w:val="24"/>
          <w:szCs w:val="24"/>
        </w:rPr>
        <w:t>7</w:t>
      </w:r>
      <w:r w:rsidRPr="00E20B4F">
        <w:rPr>
          <w:rFonts w:ascii="Times New Roman" w:hAnsi="Times New Roman" w:cs="Times New Roman"/>
          <w:sz w:val="24"/>
          <w:szCs w:val="24"/>
        </w:rPr>
        <w:t>. O ciclo anual de planejamento compreenderá:</w:t>
      </w:r>
    </w:p>
    <w:p w14:paraId="62FD7F40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 xml:space="preserve">I – </w:t>
      </w:r>
      <w:proofErr w:type="gramStart"/>
      <w:r w:rsidRPr="00E20B4F">
        <w:rPr>
          <w:rFonts w:ascii="Times New Roman" w:hAnsi="Times New Roman" w:cs="Times New Roman"/>
          <w:sz w:val="24"/>
          <w:szCs w:val="24"/>
        </w:rPr>
        <w:t>planejamento</w:t>
      </w:r>
      <w:proofErr w:type="gramEnd"/>
      <w:r w:rsidRPr="00E20B4F">
        <w:rPr>
          <w:rFonts w:ascii="Times New Roman" w:hAnsi="Times New Roman" w:cs="Times New Roman"/>
          <w:sz w:val="24"/>
          <w:szCs w:val="24"/>
        </w:rPr>
        <w:t>: elaboração do Plano Anual;</w:t>
      </w:r>
    </w:p>
    <w:p w14:paraId="3207ABEB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 xml:space="preserve">II – </w:t>
      </w:r>
      <w:proofErr w:type="gramStart"/>
      <w:r w:rsidRPr="00E20B4F">
        <w:rPr>
          <w:rFonts w:ascii="Times New Roman" w:hAnsi="Times New Roman" w:cs="Times New Roman"/>
          <w:sz w:val="24"/>
          <w:szCs w:val="24"/>
        </w:rPr>
        <w:t>execução</w:t>
      </w:r>
      <w:proofErr w:type="gramEnd"/>
      <w:r w:rsidRPr="00E20B4F">
        <w:rPr>
          <w:rFonts w:ascii="Times New Roman" w:hAnsi="Times New Roman" w:cs="Times New Roman"/>
          <w:sz w:val="24"/>
          <w:szCs w:val="24"/>
        </w:rPr>
        <w:t>: desenvolvimento das ações;</w:t>
      </w:r>
    </w:p>
    <w:p w14:paraId="6B5B1EE6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>III – monitoramento: acompanhamento das atividades;</w:t>
      </w:r>
    </w:p>
    <w:p w14:paraId="21BD572A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lastRenderedPageBreak/>
        <w:t xml:space="preserve">IV – </w:t>
      </w:r>
      <w:proofErr w:type="gramStart"/>
      <w:r w:rsidRPr="00E20B4F">
        <w:rPr>
          <w:rFonts w:ascii="Times New Roman" w:hAnsi="Times New Roman" w:cs="Times New Roman"/>
          <w:sz w:val="24"/>
          <w:szCs w:val="24"/>
        </w:rPr>
        <w:t>avaliação</w:t>
      </w:r>
      <w:proofErr w:type="gramEnd"/>
      <w:r w:rsidRPr="00E20B4F">
        <w:rPr>
          <w:rFonts w:ascii="Times New Roman" w:hAnsi="Times New Roman" w:cs="Times New Roman"/>
          <w:sz w:val="24"/>
          <w:szCs w:val="24"/>
        </w:rPr>
        <w:t>: análise dos resultados;</w:t>
      </w:r>
    </w:p>
    <w:p w14:paraId="77C5B89A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 xml:space="preserve">V – </w:t>
      </w:r>
      <w:proofErr w:type="gramStart"/>
      <w:r w:rsidRPr="00E20B4F">
        <w:rPr>
          <w:rFonts w:ascii="Times New Roman" w:hAnsi="Times New Roman" w:cs="Times New Roman"/>
          <w:sz w:val="24"/>
          <w:szCs w:val="24"/>
        </w:rPr>
        <w:t>prestação</w:t>
      </w:r>
      <w:proofErr w:type="gramEnd"/>
      <w:r w:rsidRPr="00E20B4F">
        <w:rPr>
          <w:rFonts w:ascii="Times New Roman" w:hAnsi="Times New Roman" w:cs="Times New Roman"/>
          <w:sz w:val="24"/>
          <w:szCs w:val="24"/>
        </w:rPr>
        <w:t xml:space="preserve"> de contas institucional: elaboração do Relatório Anual;</w:t>
      </w:r>
    </w:p>
    <w:p w14:paraId="7747DDAF" w14:textId="77777777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 xml:space="preserve">VI – </w:t>
      </w:r>
      <w:proofErr w:type="gramStart"/>
      <w:r w:rsidRPr="00E20B4F">
        <w:rPr>
          <w:rFonts w:ascii="Times New Roman" w:hAnsi="Times New Roman" w:cs="Times New Roman"/>
          <w:sz w:val="24"/>
          <w:szCs w:val="24"/>
        </w:rPr>
        <w:t>replanejamento</w:t>
      </w:r>
      <w:proofErr w:type="gramEnd"/>
      <w:r w:rsidRPr="00E20B4F">
        <w:rPr>
          <w:rFonts w:ascii="Times New Roman" w:hAnsi="Times New Roman" w:cs="Times New Roman"/>
          <w:sz w:val="24"/>
          <w:szCs w:val="24"/>
        </w:rPr>
        <w:t>: utilização dos resultados para o exercício seguinte.</w:t>
      </w:r>
    </w:p>
    <w:p w14:paraId="1B107897" w14:textId="257ED8D1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>Art. 1</w:t>
      </w:r>
      <w:r w:rsidR="00A403E2">
        <w:rPr>
          <w:rFonts w:ascii="Times New Roman" w:hAnsi="Times New Roman" w:cs="Times New Roman"/>
          <w:sz w:val="24"/>
          <w:szCs w:val="24"/>
        </w:rPr>
        <w:t>8</w:t>
      </w:r>
      <w:r w:rsidRPr="00E20B4F">
        <w:rPr>
          <w:rFonts w:ascii="Times New Roman" w:hAnsi="Times New Roman" w:cs="Times New Roman"/>
          <w:sz w:val="24"/>
          <w:szCs w:val="24"/>
        </w:rPr>
        <w:t xml:space="preserve"> Esta Resolução não altera as regras de funcionamento das Comissões Permanentes previstas no Regimento Interno, inclusive quanto aos dias, horários, periodicidade, quórum e demais procedimentos.</w:t>
      </w:r>
    </w:p>
    <w:p w14:paraId="61EEEFA0" w14:textId="468AA92B" w:rsidR="00024E21" w:rsidRPr="00E20B4F" w:rsidRDefault="00024E21" w:rsidP="00024E2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B4F">
        <w:rPr>
          <w:rFonts w:ascii="Times New Roman" w:hAnsi="Times New Roman" w:cs="Times New Roman"/>
          <w:sz w:val="24"/>
          <w:szCs w:val="24"/>
        </w:rPr>
        <w:t>Art. 1</w:t>
      </w:r>
      <w:r w:rsidR="00A403E2">
        <w:rPr>
          <w:rFonts w:ascii="Times New Roman" w:hAnsi="Times New Roman" w:cs="Times New Roman"/>
          <w:sz w:val="24"/>
          <w:szCs w:val="24"/>
        </w:rPr>
        <w:t>9</w:t>
      </w:r>
      <w:r w:rsidRPr="00E20B4F">
        <w:rPr>
          <w:rFonts w:ascii="Times New Roman" w:hAnsi="Times New Roman" w:cs="Times New Roman"/>
          <w:sz w:val="24"/>
          <w:szCs w:val="24"/>
        </w:rPr>
        <w:t>. Esta Resolução entra em vigor na data de sua publicação, produzindo efeitos para o planejamento das atividades das Comissões a partir de 1º de janeiro de 2027.</w:t>
      </w:r>
    </w:p>
    <w:p w14:paraId="7534A73F" w14:textId="4B1626D6" w:rsidR="00220BFD" w:rsidRPr="00E20B4F" w:rsidRDefault="00805A69" w:rsidP="00024E21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05A69">
        <w:rPr>
          <w:rFonts w:ascii="Times New Roman" w:eastAsia="Times New Roman" w:hAnsi="Times New Roman" w:cs="Times New Roman"/>
          <w:sz w:val="24"/>
          <w:szCs w:val="24"/>
          <w:lang w:eastAsia="pt-BR"/>
        </w:rPr>
        <w:t>Sala das Sessões Bemvindo Moreira Nery</w:t>
      </w:r>
      <w:r w:rsidR="00220BFD" w:rsidRPr="00E20B4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E20B4F">
        <w:rPr>
          <w:rFonts w:ascii="Times New Roman" w:eastAsia="Times New Roman" w:hAnsi="Times New Roman" w:cs="Times New Roman"/>
          <w:sz w:val="24"/>
          <w:szCs w:val="24"/>
          <w:lang w:eastAsia="pt-BR"/>
        </w:rPr>
        <w:t>19</w:t>
      </w:r>
      <w:r w:rsidR="00220BFD" w:rsidRPr="00E20B4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agosto de 2026.</w:t>
      </w:r>
    </w:p>
    <w:p w14:paraId="00011D84" w14:textId="77777777" w:rsidR="00220BFD" w:rsidRPr="00E20B4F" w:rsidRDefault="00220BFD" w:rsidP="00024E21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tbl>
      <w:tblPr>
        <w:tblW w:w="85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95"/>
        <w:gridCol w:w="3969"/>
        <w:gridCol w:w="141"/>
      </w:tblGrid>
      <w:tr w:rsidR="00220BFD" w:rsidRPr="00E20B4F" w14:paraId="5085E2F7" w14:textId="77777777" w:rsidTr="0031076E">
        <w:trPr>
          <w:gridAfter w:val="1"/>
          <w:wAfter w:w="141" w:type="dxa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60DB8" w14:textId="77777777" w:rsidR="00220BFD" w:rsidRPr="00E20B4F" w:rsidRDefault="00220BFD" w:rsidP="00024E21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E20B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RAFAEL ALAN DE MORAES ROMEIRO</w:t>
            </w:r>
          </w:p>
          <w:p w14:paraId="3FD93199" w14:textId="77777777" w:rsidR="00220BFD" w:rsidRPr="00E20B4F" w:rsidRDefault="00220BFD" w:rsidP="00024E21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E20B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Presidente</w:t>
            </w:r>
          </w:p>
          <w:p w14:paraId="0A50958C" w14:textId="77777777" w:rsidR="00220BFD" w:rsidRPr="00E20B4F" w:rsidRDefault="00220BFD" w:rsidP="00024E2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</w:p>
        </w:tc>
      </w:tr>
      <w:tr w:rsidR="00220BFD" w:rsidRPr="00E20B4F" w14:paraId="7844D01C" w14:textId="77777777" w:rsidTr="0031076E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10608" w14:textId="77777777" w:rsidR="00220BFD" w:rsidRPr="00E20B4F" w:rsidRDefault="00220BFD" w:rsidP="00024E21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E20B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ERONDINA FERREIRA GODOY</w:t>
            </w:r>
          </w:p>
          <w:p w14:paraId="143134C1" w14:textId="77777777" w:rsidR="00220BFD" w:rsidRPr="00E20B4F" w:rsidRDefault="00220BFD" w:rsidP="00024E21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E20B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Vice-Presidente</w:t>
            </w:r>
          </w:p>
          <w:p w14:paraId="3EC18D68" w14:textId="77777777" w:rsidR="00220BFD" w:rsidRPr="00E20B4F" w:rsidRDefault="00220BFD" w:rsidP="00024E2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</w:p>
        </w:tc>
        <w:tc>
          <w:tcPr>
            <w:tcW w:w="41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A9896" w14:textId="77777777" w:rsidR="00220BFD" w:rsidRPr="00E20B4F" w:rsidRDefault="00220BFD" w:rsidP="00024E21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E20B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MAURÍCIO ALONSO MURAKAMI</w:t>
            </w:r>
          </w:p>
          <w:p w14:paraId="089C891D" w14:textId="77777777" w:rsidR="00220BFD" w:rsidRPr="00E20B4F" w:rsidRDefault="00220BFD" w:rsidP="00024E21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E20B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1º Secretário</w:t>
            </w:r>
          </w:p>
        </w:tc>
      </w:tr>
      <w:tr w:rsidR="00220BFD" w:rsidRPr="00E20B4F" w14:paraId="36D99E9C" w14:textId="77777777" w:rsidTr="0031076E">
        <w:trPr>
          <w:gridAfter w:val="1"/>
          <w:wAfter w:w="141" w:type="dxa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0B351" w14:textId="77777777" w:rsidR="00220BFD" w:rsidRPr="00E20B4F" w:rsidRDefault="00220BFD" w:rsidP="00024E21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E20B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PRISCILLA S. MARIANO CAVANHA</w:t>
            </w:r>
          </w:p>
          <w:p w14:paraId="671BE8B0" w14:textId="77777777" w:rsidR="00220BFD" w:rsidRPr="00E20B4F" w:rsidRDefault="00220BFD" w:rsidP="00024E21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E20B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2ª Secretária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AA5F8" w14:textId="77777777" w:rsidR="00220BFD" w:rsidRPr="00E20B4F" w:rsidRDefault="00220BFD" w:rsidP="00024E21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E20B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MATEUS A. DA SILVA SANTOS</w:t>
            </w:r>
          </w:p>
          <w:p w14:paraId="777DF980" w14:textId="77777777" w:rsidR="00220BFD" w:rsidRPr="00E20B4F" w:rsidRDefault="00220BFD" w:rsidP="00024E21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E20B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3º Secretário</w:t>
            </w:r>
          </w:p>
        </w:tc>
      </w:tr>
    </w:tbl>
    <w:p w14:paraId="55A68AEE" w14:textId="368ACC95" w:rsidR="0059124E" w:rsidRDefault="0059124E" w:rsidP="00024E21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5D73D16" w14:textId="77777777" w:rsidR="0059124E" w:rsidRDefault="0059124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br w:type="page"/>
      </w:r>
    </w:p>
    <w:p w14:paraId="283BDFDE" w14:textId="644E4C17" w:rsidR="0059124E" w:rsidRDefault="0059124E" w:rsidP="008048F9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>JUSTIFICATIVA</w:t>
      </w:r>
    </w:p>
    <w:p w14:paraId="3BEC9FDA" w14:textId="77777777" w:rsidR="006657AA" w:rsidRPr="006657AA" w:rsidRDefault="006657AA" w:rsidP="00DF586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657AA">
        <w:rPr>
          <w:rFonts w:ascii="Times New Roman" w:eastAsia="Times New Roman" w:hAnsi="Times New Roman" w:cs="Times New Roman"/>
          <w:sz w:val="24"/>
          <w:szCs w:val="24"/>
          <w:lang w:eastAsia="pt-BR"/>
        </w:rPr>
        <w:t>O presente Projeto de Resolução tem por finalidade instituir, no âmbito da Câmara Municipal de Itapevi, o Programa de Diretrizes Temáticas Trienais e o Plano Anual de Trabalho das Comissões Permanentes, estabelecendo instrumentos de planejamento, acompanhamento, avaliação e transparência das atividades legislativas e institucionais.</w:t>
      </w:r>
    </w:p>
    <w:p w14:paraId="7FBD4ABA" w14:textId="77777777" w:rsidR="006657AA" w:rsidRPr="006657AA" w:rsidRDefault="006657AA" w:rsidP="00DF586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657AA">
        <w:rPr>
          <w:rFonts w:ascii="Times New Roman" w:eastAsia="Times New Roman" w:hAnsi="Times New Roman" w:cs="Times New Roman"/>
          <w:sz w:val="24"/>
          <w:szCs w:val="24"/>
          <w:lang w:eastAsia="pt-BR"/>
        </w:rPr>
        <w:t>A crescente complexidade das demandas do Município exige do Poder Legislativo uma atuação planejada, integrada e orientada por objetivos. Nesse contexto, as Diretrizes Temáticas Trienais permitirão a definição de eixos institucionais comuns para orientar ações, programas, eventos, atividades de comunicação, frentes parlamentares, Escola do Parlamento e demais iniciativas da Câmara Municipal.</w:t>
      </w:r>
    </w:p>
    <w:p w14:paraId="1BE8CE4A" w14:textId="77777777" w:rsidR="006657AA" w:rsidRPr="006657AA" w:rsidRDefault="006657AA" w:rsidP="00DF586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657AA">
        <w:rPr>
          <w:rFonts w:ascii="Times New Roman" w:eastAsia="Times New Roman" w:hAnsi="Times New Roman" w:cs="Times New Roman"/>
          <w:sz w:val="24"/>
          <w:szCs w:val="24"/>
          <w:lang w:eastAsia="pt-BR"/>
        </w:rPr>
        <w:t>Essas diretrizes não restringem a atuação parlamentar nem limitam as competências regimentais das Comissões Permanentes. Constituem orientação institucional geral, a ser aplicada por cada colegiado conforme suas atribuições, prioridades e especificidades, preservando-se sua autonomia.</w:t>
      </w:r>
    </w:p>
    <w:p w14:paraId="4D3EA527" w14:textId="77777777" w:rsidR="006657AA" w:rsidRPr="006657AA" w:rsidRDefault="006657AA" w:rsidP="00DF586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657AA">
        <w:rPr>
          <w:rFonts w:ascii="Times New Roman" w:eastAsia="Times New Roman" w:hAnsi="Times New Roman" w:cs="Times New Roman"/>
          <w:sz w:val="24"/>
          <w:szCs w:val="24"/>
          <w:lang w:eastAsia="pt-BR"/>
        </w:rPr>
        <w:t>O Plano Anual de Trabalho, por sua vez, contribuirá para a organização das atividades das Comissões, permitindo a definição de prioridades, objetivos, ações, cronogramas e critérios de acompanhamento. Dessa forma, audiências públicas, visitas técnicas, diligências, reuniões temáticas, estudos e demais atividades poderão ser realizadas de maneira coordenada e eficiente.</w:t>
      </w:r>
    </w:p>
    <w:p w14:paraId="7752B2D0" w14:textId="77777777" w:rsidR="006657AA" w:rsidRPr="006657AA" w:rsidRDefault="006657AA" w:rsidP="00DF586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657AA">
        <w:rPr>
          <w:rFonts w:ascii="Times New Roman" w:eastAsia="Times New Roman" w:hAnsi="Times New Roman" w:cs="Times New Roman"/>
          <w:sz w:val="24"/>
          <w:szCs w:val="24"/>
          <w:lang w:eastAsia="pt-BR"/>
        </w:rPr>
        <w:t>O Plano terá natureza organizacional e não impedirá a realização de atividades inicialmente não previstas, especialmente quando decorrentes de fatos supervenientes, situações urgentes ou demandas relevantes de interesse público.</w:t>
      </w:r>
    </w:p>
    <w:p w14:paraId="3AA2DA1C" w14:textId="77777777" w:rsidR="006657AA" w:rsidRPr="006657AA" w:rsidRDefault="006657AA" w:rsidP="00DF586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657AA">
        <w:rPr>
          <w:rFonts w:ascii="Times New Roman" w:eastAsia="Times New Roman" w:hAnsi="Times New Roman" w:cs="Times New Roman"/>
          <w:sz w:val="24"/>
          <w:szCs w:val="24"/>
          <w:lang w:eastAsia="pt-BR"/>
        </w:rPr>
        <w:t>A proposta também fortalece a função fiscalizatória do Poder Legislativo, favorecendo o acompanhamento de políticas públicas, programas, contratos, indicadores e atos governamentais. Além disso, prevê a elaboração de Relatório Anual de Atividades, que registrará as ações desenvolvidas, os resultados alcançados e as recomendações para o exercício seguinte, ampliando a transparência e o controle social.</w:t>
      </w:r>
    </w:p>
    <w:p w14:paraId="14964A74" w14:textId="77777777" w:rsidR="006657AA" w:rsidRPr="006657AA" w:rsidRDefault="006657AA" w:rsidP="00DF586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657AA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Estabelece-se, assim, um ciclo permanente de planejamento, execução, monitoramento, avaliação, prestação de contas e replanejamento, contribuindo para a preservação da memória institucional e para a continuidade das ações das Comissões.</w:t>
      </w:r>
    </w:p>
    <w:p w14:paraId="64B2F54B" w14:textId="77777777" w:rsidR="006657AA" w:rsidRPr="006657AA" w:rsidRDefault="006657AA" w:rsidP="00DF586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657AA">
        <w:rPr>
          <w:rFonts w:ascii="Times New Roman" w:eastAsia="Times New Roman" w:hAnsi="Times New Roman" w:cs="Times New Roman"/>
          <w:sz w:val="24"/>
          <w:szCs w:val="24"/>
          <w:lang w:eastAsia="pt-BR"/>
        </w:rPr>
        <w:t>Ressalta-se que a proposta não altera as regras regimentais relativas à composição, ao funcionamento, aos horários, à periodicidade, ao quórum ou aos procedimentos das Comissões Permanentes, limitando-se a instituir instrumentos de planejamento, organização e transparência.</w:t>
      </w:r>
    </w:p>
    <w:p w14:paraId="234FE4A0" w14:textId="40791E14" w:rsidR="008048F9" w:rsidRDefault="006657AA" w:rsidP="00DF586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657AA">
        <w:rPr>
          <w:rFonts w:ascii="Times New Roman" w:eastAsia="Times New Roman" w:hAnsi="Times New Roman" w:cs="Times New Roman"/>
          <w:sz w:val="24"/>
          <w:szCs w:val="24"/>
          <w:lang w:eastAsia="pt-BR"/>
        </w:rPr>
        <w:t>Diante do exposto, considerando que a medida contribuirá para o aprimoramento da atividade legislativa, o fortalecimento da fiscalização e a ampliação da transparência institucional, submetemos o presente Projeto de Resolução à apreciação dos Nobres Vereadores, contando com sua aprovação.</w:t>
      </w:r>
    </w:p>
    <w:p w14:paraId="7A22AD0F" w14:textId="77777777" w:rsidR="006657AA" w:rsidRPr="00E20B4F" w:rsidRDefault="006657AA" w:rsidP="006657A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05A69">
        <w:rPr>
          <w:rFonts w:ascii="Times New Roman" w:eastAsia="Times New Roman" w:hAnsi="Times New Roman" w:cs="Times New Roman"/>
          <w:sz w:val="24"/>
          <w:szCs w:val="24"/>
          <w:lang w:eastAsia="pt-BR"/>
        </w:rPr>
        <w:t>Sala das Sessões Bemvindo Moreira Nery</w:t>
      </w:r>
      <w:r w:rsidRPr="00E20B4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19</w:t>
      </w:r>
      <w:r w:rsidRPr="00E20B4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agosto de 2026.</w:t>
      </w:r>
    </w:p>
    <w:p w14:paraId="1F561BA7" w14:textId="77777777" w:rsidR="006657AA" w:rsidRPr="00E20B4F" w:rsidRDefault="006657AA" w:rsidP="006657A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tbl>
      <w:tblPr>
        <w:tblW w:w="85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95"/>
        <w:gridCol w:w="3969"/>
        <w:gridCol w:w="141"/>
      </w:tblGrid>
      <w:tr w:rsidR="006657AA" w:rsidRPr="00E20B4F" w14:paraId="765796FF" w14:textId="77777777" w:rsidTr="006520C8">
        <w:trPr>
          <w:gridAfter w:val="1"/>
          <w:wAfter w:w="141" w:type="dxa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F8B3E" w14:textId="77777777" w:rsidR="006657AA" w:rsidRPr="00E20B4F" w:rsidRDefault="006657AA" w:rsidP="006520C8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E20B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RAFAEL ALAN DE MORAES ROMEIRO</w:t>
            </w:r>
          </w:p>
          <w:p w14:paraId="633D9E7E" w14:textId="77777777" w:rsidR="006657AA" w:rsidRPr="00E20B4F" w:rsidRDefault="006657AA" w:rsidP="006520C8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E20B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Presidente</w:t>
            </w:r>
          </w:p>
          <w:p w14:paraId="4DF620DD" w14:textId="77777777" w:rsidR="006657AA" w:rsidRPr="00E20B4F" w:rsidRDefault="006657AA" w:rsidP="006520C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</w:p>
        </w:tc>
      </w:tr>
      <w:tr w:rsidR="006657AA" w:rsidRPr="00E20B4F" w14:paraId="3F04786C" w14:textId="77777777" w:rsidTr="006520C8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8B73D" w14:textId="77777777" w:rsidR="006657AA" w:rsidRPr="00E20B4F" w:rsidRDefault="006657AA" w:rsidP="006520C8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E20B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ERONDINA FERREIRA GODOY</w:t>
            </w:r>
          </w:p>
          <w:p w14:paraId="15AA69B7" w14:textId="77777777" w:rsidR="006657AA" w:rsidRPr="00E20B4F" w:rsidRDefault="006657AA" w:rsidP="006520C8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E20B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Vice-Presidente</w:t>
            </w:r>
          </w:p>
          <w:p w14:paraId="45A6610E" w14:textId="77777777" w:rsidR="006657AA" w:rsidRPr="00E20B4F" w:rsidRDefault="006657AA" w:rsidP="006520C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</w:p>
        </w:tc>
        <w:tc>
          <w:tcPr>
            <w:tcW w:w="41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62C2E" w14:textId="77777777" w:rsidR="006657AA" w:rsidRPr="00E20B4F" w:rsidRDefault="006657AA" w:rsidP="006520C8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E20B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MAURÍCIO ALONSO MURAKAMI</w:t>
            </w:r>
          </w:p>
          <w:p w14:paraId="0B39AF3D" w14:textId="77777777" w:rsidR="006657AA" w:rsidRPr="00E20B4F" w:rsidRDefault="006657AA" w:rsidP="006520C8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E20B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1º Secretário</w:t>
            </w:r>
          </w:p>
        </w:tc>
      </w:tr>
      <w:tr w:rsidR="006657AA" w:rsidRPr="00E20B4F" w14:paraId="5A0C78C4" w14:textId="77777777" w:rsidTr="006520C8">
        <w:trPr>
          <w:gridAfter w:val="1"/>
          <w:wAfter w:w="141" w:type="dxa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CA918" w14:textId="77777777" w:rsidR="006657AA" w:rsidRPr="00E20B4F" w:rsidRDefault="006657AA" w:rsidP="006520C8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E20B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PRISCILLA S. MARIANO CAVANHA</w:t>
            </w:r>
          </w:p>
          <w:p w14:paraId="143FB9BD" w14:textId="77777777" w:rsidR="006657AA" w:rsidRPr="00E20B4F" w:rsidRDefault="006657AA" w:rsidP="006520C8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E20B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2ª Secretária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54E17" w14:textId="77777777" w:rsidR="006657AA" w:rsidRPr="00E20B4F" w:rsidRDefault="006657AA" w:rsidP="006520C8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E20B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MATEUS A. DA SILVA SANTOS</w:t>
            </w:r>
          </w:p>
          <w:p w14:paraId="0B51BEAC" w14:textId="77777777" w:rsidR="006657AA" w:rsidRPr="00E20B4F" w:rsidRDefault="006657AA" w:rsidP="006520C8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E20B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3º Secretário</w:t>
            </w:r>
          </w:p>
        </w:tc>
      </w:tr>
    </w:tbl>
    <w:p w14:paraId="6EBD95A4" w14:textId="77777777" w:rsidR="006657AA" w:rsidRPr="006657AA" w:rsidRDefault="006657AA" w:rsidP="006657AA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sectPr w:rsidR="006657AA" w:rsidRPr="006657AA" w:rsidSect="00D24FA5">
      <w:headerReference w:type="default" r:id="rId8"/>
      <w:pgSz w:w="11907" w:h="16840" w:code="9"/>
      <w:pgMar w:top="2268" w:right="1134" w:bottom="170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3356B" w14:textId="77777777" w:rsidR="00D07F68" w:rsidRPr="00024E21" w:rsidRDefault="00D07F68" w:rsidP="00CA0B87">
      <w:pPr>
        <w:spacing w:after="0" w:line="240" w:lineRule="auto"/>
      </w:pPr>
      <w:r w:rsidRPr="00024E21">
        <w:separator/>
      </w:r>
    </w:p>
  </w:endnote>
  <w:endnote w:type="continuationSeparator" w:id="0">
    <w:p w14:paraId="5BFEEEDC" w14:textId="77777777" w:rsidR="00D07F68" w:rsidRPr="00024E21" w:rsidRDefault="00D07F68" w:rsidP="00CA0B87">
      <w:pPr>
        <w:spacing w:after="0" w:line="240" w:lineRule="auto"/>
      </w:pPr>
      <w:r w:rsidRPr="00024E2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278BB" w14:textId="77777777" w:rsidR="00D07F68" w:rsidRPr="00024E21" w:rsidRDefault="00D07F68" w:rsidP="00CA0B87">
      <w:pPr>
        <w:spacing w:after="0" w:line="240" w:lineRule="auto"/>
      </w:pPr>
      <w:r w:rsidRPr="00024E21">
        <w:separator/>
      </w:r>
    </w:p>
  </w:footnote>
  <w:footnote w:type="continuationSeparator" w:id="0">
    <w:p w14:paraId="545169BF" w14:textId="77777777" w:rsidR="00D07F68" w:rsidRPr="00024E21" w:rsidRDefault="00D07F68" w:rsidP="00CA0B87">
      <w:pPr>
        <w:spacing w:after="0" w:line="240" w:lineRule="auto"/>
      </w:pPr>
      <w:r w:rsidRPr="00024E2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3D190" w14:textId="77777777" w:rsidR="00C1514A" w:rsidRPr="00024E21" w:rsidRDefault="00C1514A" w:rsidP="00C1514A">
    <w:pPr>
      <w:pStyle w:val="Cabealho"/>
      <w:tabs>
        <w:tab w:val="clear" w:pos="4680"/>
        <w:tab w:val="clear" w:pos="9360"/>
        <w:tab w:val="left" w:pos="4585"/>
      </w:tabs>
    </w:pPr>
    <w:r w:rsidRPr="00024E21">
      <w:rPr>
        <w:noProof/>
      </w:rPr>
      <w:drawing>
        <wp:anchor distT="0" distB="0" distL="114300" distR="114300" simplePos="0" relativeHeight="251660288" behindDoc="1" locked="0" layoutInCell="1" allowOverlap="1" wp14:anchorId="7A9B3A68" wp14:editId="48D9FDF9">
          <wp:simplePos x="0" y="0"/>
          <wp:positionH relativeFrom="page">
            <wp:posOffset>28575</wp:posOffset>
          </wp:positionH>
          <wp:positionV relativeFrom="paragraph">
            <wp:posOffset>-352425</wp:posOffset>
          </wp:positionV>
          <wp:extent cx="7743576" cy="10553065"/>
          <wp:effectExtent l="0" t="0" r="0" b="635"/>
          <wp:wrapNone/>
          <wp:docPr id="902217945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5604" cy="105694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24E21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262F87"/>
    <w:multiLevelType w:val="multilevel"/>
    <w:tmpl w:val="35709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9AC32F7"/>
    <w:multiLevelType w:val="multilevel"/>
    <w:tmpl w:val="BF2C8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AFB786E"/>
    <w:multiLevelType w:val="multilevel"/>
    <w:tmpl w:val="E9F06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AA572B"/>
    <w:multiLevelType w:val="multilevel"/>
    <w:tmpl w:val="C87E0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11E2AD2"/>
    <w:multiLevelType w:val="multilevel"/>
    <w:tmpl w:val="EB3AA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A329D6"/>
    <w:multiLevelType w:val="multilevel"/>
    <w:tmpl w:val="48CAF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53E7198"/>
    <w:multiLevelType w:val="multilevel"/>
    <w:tmpl w:val="3940C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6CF1229"/>
    <w:multiLevelType w:val="multilevel"/>
    <w:tmpl w:val="E200C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8242353"/>
    <w:multiLevelType w:val="multilevel"/>
    <w:tmpl w:val="A1CC8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878373A"/>
    <w:multiLevelType w:val="multilevel"/>
    <w:tmpl w:val="C1347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F38461D"/>
    <w:multiLevelType w:val="multilevel"/>
    <w:tmpl w:val="1972A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4C229D8"/>
    <w:multiLevelType w:val="multilevel"/>
    <w:tmpl w:val="044E6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4C768AD"/>
    <w:multiLevelType w:val="multilevel"/>
    <w:tmpl w:val="F6441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B7475D9"/>
    <w:multiLevelType w:val="multilevel"/>
    <w:tmpl w:val="A0462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0297A38"/>
    <w:multiLevelType w:val="multilevel"/>
    <w:tmpl w:val="2C120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331582A"/>
    <w:multiLevelType w:val="multilevel"/>
    <w:tmpl w:val="F954A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3761B18"/>
    <w:multiLevelType w:val="multilevel"/>
    <w:tmpl w:val="56207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A401B3F"/>
    <w:multiLevelType w:val="multilevel"/>
    <w:tmpl w:val="F7948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CBB2B78"/>
    <w:multiLevelType w:val="multilevel"/>
    <w:tmpl w:val="89FE5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EB8132E"/>
    <w:multiLevelType w:val="multilevel"/>
    <w:tmpl w:val="EAB81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27A3CE0"/>
    <w:multiLevelType w:val="hybridMultilevel"/>
    <w:tmpl w:val="7354D4D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3E6BA7"/>
    <w:multiLevelType w:val="multilevel"/>
    <w:tmpl w:val="7C461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9083564"/>
    <w:multiLevelType w:val="multilevel"/>
    <w:tmpl w:val="08D89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1116531"/>
    <w:multiLevelType w:val="multilevel"/>
    <w:tmpl w:val="B3E61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576112B"/>
    <w:multiLevelType w:val="multilevel"/>
    <w:tmpl w:val="7E805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9A61629"/>
    <w:multiLevelType w:val="multilevel"/>
    <w:tmpl w:val="ABA8F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A003001"/>
    <w:multiLevelType w:val="multilevel"/>
    <w:tmpl w:val="05BAF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BEB3500"/>
    <w:multiLevelType w:val="multilevel"/>
    <w:tmpl w:val="E9261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F0E104F"/>
    <w:multiLevelType w:val="multilevel"/>
    <w:tmpl w:val="C1346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7098758">
    <w:abstractNumId w:val="8"/>
  </w:num>
  <w:num w:numId="2" w16cid:durableId="1635062301">
    <w:abstractNumId w:val="6"/>
  </w:num>
  <w:num w:numId="3" w16cid:durableId="1357584815">
    <w:abstractNumId w:val="5"/>
  </w:num>
  <w:num w:numId="4" w16cid:durableId="720327916">
    <w:abstractNumId w:val="4"/>
  </w:num>
  <w:num w:numId="5" w16cid:durableId="675497632">
    <w:abstractNumId w:val="7"/>
  </w:num>
  <w:num w:numId="6" w16cid:durableId="1352993045">
    <w:abstractNumId w:val="3"/>
  </w:num>
  <w:num w:numId="7" w16cid:durableId="844174042">
    <w:abstractNumId w:val="2"/>
  </w:num>
  <w:num w:numId="8" w16cid:durableId="659238209">
    <w:abstractNumId w:val="1"/>
  </w:num>
  <w:num w:numId="9" w16cid:durableId="374817349">
    <w:abstractNumId w:val="0"/>
  </w:num>
  <w:num w:numId="10" w16cid:durableId="953900856">
    <w:abstractNumId w:val="11"/>
  </w:num>
  <w:num w:numId="11" w16cid:durableId="1760565660">
    <w:abstractNumId w:val="12"/>
  </w:num>
  <w:num w:numId="12" w16cid:durableId="1686133933">
    <w:abstractNumId w:val="13"/>
  </w:num>
  <w:num w:numId="13" w16cid:durableId="1226642663">
    <w:abstractNumId w:val="33"/>
  </w:num>
  <w:num w:numId="14" w16cid:durableId="1338387851">
    <w:abstractNumId w:val="20"/>
  </w:num>
  <w:num w:numId="15" w16cid:durableId="662515604">
    <w:abstractNumId w:val="32"/>
  </w:num>
  <w:num w:numId="16" w16cid:durableId="556236130">
    <w:abstractNumId w:val="10"/>
  </w:num>
  <w:num w:numId="17" w16cid:durableId="1268275064">
    <w:abstractNumId w:val="31"/>
  </w:num>
  <w:num w:numId="18" w16cid:durableId="1781104099">
    <w:abstractNumId w:val="28"/>
  </w:num>
  <w:num w:numId="19" w16cid:durableId="1339694464">
    <w:abstractNumId w:val="19"/>
  </w:num>
  <w:num w:numId="20" w16cid:durableId="2145350703">
    <w:abstractNumId w:val="18"/>
  </w:num>
  <w:num w:numId="21" w16cid:durableId="1274901613">
    <w:abstractNumId w:val="37"/>
  </w:num>
  <w:num w:numId="22" w16cid:durableId="813957794">
    <w:abstractNumId w:val="26"/>
  </w:num>
  <w:num w:numId="23" w16cid:durableId="61414351">
    <w:abstractNumId w:val="16"/>
  </w:num>
  <w:num w:numId="24" w16cid:durableId="2121992759">
    <w:abstractNumId w:val="36"/>
  </w:num>
  <w:num w:numId="25" w16cid:durableId="380599036">
    <w:abstractNumId w:val="14"/>
  </w:num>
  <w:num w:numId="26" w16cid:durableId="1973826112">
    <w:abstractNumId w:val="30"/>
  </w:num>
  <w:num w:numId="27" w16cid:durableId="325671406">
    <w:abstractNumId w:val="9"/>
  </w:num>
  <w:num w:numId="28" w16cid:durableId="431164296">
    <w:abstractNumId w:val="24"/>
  </w:num>
  <w:num w:numId="29" w16cid:durableId="1724980284">
    <w:abstractNumId w:val="29"/>
  </w:num>
  <w:num w:numId="30" w16cid:durableId="1603340234">
    <w:abstractNumId w:val="35"/>
  </w:num>
  <w:num w:numId="31" w16cid:durableId="1543907122">
    <w:abstractNumId w:val="22"/>
  </w:num>
  <w:num w:numId="32" w16cid:durableId="426659281">
    <w:abstractNumId w:val="15"/>
  </w:num>
  <w:num w:numId="33" w16cid:durableId="1107852885">
    <w:abstractNumId w:val="17"/>
  </w:num>
  <w:num w:numId="34" w16cid:durableId="795679841">
    <w:abstractNumId w:val="25"/>
  </w:num>
  <w:num w:numId="35" w16cid:durableId="2054764671">
    <w:abstractNumId w:val="34"/>
  </w:num>
  <w:num w:numId="36" w16cid:durableId="1487670205">
    <w:abstractNumId w:val="21"/>
  </w:num>
  <w:num w:numId="37" w16cid:durableId="1792748524">
    <w:abstractNumId w:val="23"/>
  </w:num>
  <w:num w:numId="38" w16cid:durableId="126939102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6FFC"/>
    <w:rsid w:val="00024E21"/>
    <w:rsid w:val="00026C12"/>
    <w:rsid w:val="00030924"/>
    <w:rsid w:val="00034616"/>
    <w:rsid w:val="0004762E"/>
    <w:rsid w:val="0006063C"/>
    <w:rsid w:val="0006504B"/>
    <w:rsid w:val="00070931"/>
    <w:rsid w:val="00086A52"/>
    <w:rsid w:val="00091ACD"/>
    <w:rsid w:val="00094E83"/>
    <w:rsid w:val="000A5895"/>
    <w:rsid w:val="000C097D"/>
    <w:rsid w:val="000C20BC"/>
    <w:rsid w:val="000D6B9D"/>
    <w:rsid w:val="000E66D1"/>
    <w:rsid w:val="000F0D76"/>
    <w:rsid w:val="0015074B"/>
    <w:rsid w:val="00185E2D"/>
    <w:rsid w:val="001F10C7"/>
    <w:rsid w:val="00220BFD"/>
    <w:rsid w:val="0024507C"/>
    <w:rsid w:val="00261077"/>
    <w:rsid w:val="00275641"/>
    <w:rsid w:val="0029639D"/>
    <w:rsid w:val="002D5502"/>
    <w:rsid w:val="002D61F4"/>
    <w:rsid w:val="00326F90"/>
    <w:rsid w:val="00342AF1"/>
    <w:rsid w:val="003757CA"/>
    <w:rsid w:val="003A6A0E"/>
    <w:rsid w:val="003B1EE4"/>
    <w:rsid w:val="003D672C"/>
    <w:rsid w:val="00403C48"/>
    <w:rsid w:val="004536D9"/>
    <w:rsid w:val="004B14AB"/>
    <w:rsid w:val="0055289E"/>
    <w:rsid w:val="00557D34"/>
    <w:rsid w:val="0059124E"/>
    <w:rsid w:val="005928B1"/>
    <w:rsid w:val="005A4362"/>
    <w:rsid w:val="005F3022"/>
    <w:rsid w:val="005F5AEF"/>
    <w:rsid w:val="00620ACE"/>
    <w:rsid w:val="00630FA7"/>
    <w:rsid w:val="006657AA"/>
    <w:rsid w:val="006B008A"/>
    <w:rsid w:val="007141EB"/>
    <w:rsid w:val="00725B5E"/>
    <w:rsid w:val="00757AE9"/>
    <w:rsid w:val="007C5F38"/>
    <w:rsid w:val="008048F9"/>
    <w:rsid w:val="00805A69"/>
    <w:rsid w:val="00850B1F"/>
    <w:rsid w:val="00891C48"/>
    <w:rsid w:val="008C46AD"/>
    <w:rsid w:val="0096748D"/>
    <w:rsid w:val="00972132"/>
    <w:rsid w:val="009A3FED"/>
    <w:rsid w:val="009C2CBC"/>
    <w:rsid w:val="009F4A1A"/>
    <w:rsid w:val="00A12FE9"/>
    <w:rsid w:val="00A34B50"/>
    <w:rsid w:val="00A403E2"/>
    <w:rsid w:val="00A55336"/>
    <w:rsid w:val="00A819E9"/>
    <w:rsid w:val="00AA1D8D"/>
    <w:rsid w:val="00AA67D7"/>
    <w:rsid w:val="00B47730"/>
    <w:rsid w:val="00B63F31"/>
    <w:rsid w:val="00B65EC7"/>
    <w:rsid w:val="00B726EC"/>
    <w:rsid w:val="00B97431"/>
    <w:rsid w:val="00BE3325"/>
    <w:rsid w:val="00C1514A"/>
    <w:rsid w:val="00C52DF6"/>
    <w:rsid w:val="00C84DA1"/>
    <w:rsid w:val="00CA0B87"/>
    <w:rsid w:val="00CA2B5D"/>
    <w:rsid w:val="00CA79B4"/>
    <w:rsid w:val="00CB0664"/>
    <w:rsid w:val="00D07F68"/>
    <w:rsid w:val="00D24C64"/>
    <w:rsid w:val="00D24FA5"/>
    <w:rsid w:val="00D75891"/>
    <w:rsid w:val="00DB54F8"/>
    <w:rsid w:val="00DF2FCE"/>
    <w:rsid w:val="00DF586C"/>
    <w:rsid w:val="00E16F6E"/>
    <w:rsid w:val="00E20B4F"/>
    <w:rsid w:val="00E6083A"/>
    <w:rsid w:val="00E86022"/>
    <w:rsid w:val="00EA1696"/>
    <w:rsid w:val="00EE1B76"/>
    <w:rsid w:val="00EE4911"/>
    <w:rsid w:val="00F22843"/>
    <w:rsid w:val="00F43C64"/>
    <w:rsid w:val="00F64578"/>
    <w:rsid w:val="00FC1026"/>
    <w:rsid w:val="00FC693F"/>
    <w:rsid w:val="00FF3412"/>
    <w:rsid w:val="00FF6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A6FB368"/>
  <w14:defaultImageDpi w14:val="300"/>
  <w15:docId w15:val="{772A11A7-97A5-4B6B-B858-8622B78D4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umrio2">
    <w:name w:val="toc 2"/>
    <w:basedOn w:val="Normal"/>
    <w:next w:val="Normal"/>
    <w:autoRedefine/>
    <w:uiPriority w:val="39"/>
    <w:unhideWhenUsed/>
    <w:rsid w:val="00094E83"/>
    <w:pPr>
      <w:spacing w:after="100" w:line="259" w:lineRule="auto"/>
      <w:ind w:left="220"/>
    </w:pPr>
    <w:rPr>
      <w:rFonts w:cs="Times New Roman"/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094E83"/>
    <w:pPr>
      <w:spacing w:after="100" w:line="259" w:lineRule="auto"/>
    </w:pPr>
    <w:rPr>
      <w:rFonts w:cs="Times New Roman"/>
      <w:lang w:eastAsia="pt-BR"/>
    </w:rPr>
  </w:style>
  <w:style w:type="paragraph" w:styleId="Sumrio3">
    <w:name w:val="toc 3"/>
    <w:basedOn w:val="Normal"/>
    <w:next w:val="Normal"/>
    <w:autoRedefine/>
    <w:uiPriority w:val="39"/>
    <w:unhideWhenUsed/>
    <w:rsid w:val="00094E83"/>
    <w:pPr>
      <w:spacing w:after="100" w:line="259" w:lineRule="auto"/>
      <w:ind w:left="440"/>
    </w:pPr>
    <w:rPr>
      <w:rFonts w:cs="Times New Roman"/>
      <w:lang w:eastAsia="pt-BR"/>
    </w:rPr>
  </w:style>
  <w:style w:type="character" w:styleId="Hyperlink">
    <w:name w:val="Hyperlink"/>
    <w:basedOn w:val="Fontepargpadro"/>
    <w:uiPriority w:val="99"/>
    <w:unhideWhenUsed/>
    <w:rsid w:val="00094E83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A6A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9</Pages>
  <Words>1732</Words>
  <Characters>9353</Characters>
  <Application>Microsoft Office Word</Application>
  <DocSecurity>0</DocSecurity>
  <Lines>77</Lines>
  <Paragraphs>22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11063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Rafael Augusto Sasaki Neves</cp:lastModifiedBy>
  <cp:revision>21</cp:revision>
  <cp:lastPrinted>2026-08-04T18:36:00Z</cp:lastPrinted>
  <dcterms:created xsi:type="dcterms:W3CDTF">2026-08-03T18:20:00Z</dcterms:created>
  <dcterms:modified xsi:type="dcterms:W3CDTF">2026-08-19T17:30:00Z</dcterms:modified>
  <cp:category/>
</cp:coreProperties>
</file>