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1607" w14:textId="00187B55" w:rsidR="005C0B37" w:rsidRPr="005C0B37" w:rsidRDefault="005C0B37" w:rsidP="005C0B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B37">
        <w:rPr>
          <w:rFonts w:ascii="Times New Roman" w:hAnsi="Times New Roman" w:cs="Times New Roman"/>
          <w:b/>
          <w:bCs/>
          <w:sz w:val="24"/>
          <w:szCs w:val="24"/>
        </w:rPr>
        <w:t xml:space="preserve">Projeto de Resolução </w:t>
      </w:r>
      <w:r>
        <w:rPr>
          <w:rFonts w:ascii="Times New Roman" w:hAnsi="Times New Roman" w:cs="Times New Roman"/>
          <w:b/>
          <w:bCs/>
          <w:sz w:val="24"/>
          <w:szCs w:val="24"/>
        </w:rPr>
        <w:t>Nº</w:t>
      </w:r>
      <w:r w:rsidRPr="005C0B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F5F">
        <w:rPr>
          <w:rFonts w:ascii="Times New Roman" w:hAnsi="Times New Roman" w:cs="Times New Roman"/>
          <w:b/>
          <w:bCs/>
          <w:sz w:val="24"/>
          <w:szCs w:val="24"/>
        </w:rPr>
        <w:t>017/</w:t>
      </w:r>
      <w:r w:rsidRPr="005C0B37">
        <w:rPr>
          <w:rFonts w:ascii="Times New Roman" w:hAnsi="Times New Roman" w:cs="Times New Roman"/>
          <w:b/>
          <w:bCs/>
          <w:sz w:val="24"/>
          <w:szCs w:val="24"/>
        </w:rPr>
        <w:t>2026.</w:t>
      </w:r>
    </w:p>
    <w:p w14:paraId="1276DE17" w14:textId="77777777" w:rsidR="005C0B37" w:rsidRPr="005C0B37" w:rsidRDefault="005C0B37" w:rsidP="005C0B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32E022" w14:textId="36727DD8" w:rsidR="005C0B37" w:rsidRPr="005C0B37" w:rsidRDefault="00054F5F" w:rsidP="001E6362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5C0B37" w:rsidRPr="005C0B37">
        <w:rPr>
          <w:rFonts w:ascii="Times New Roman" w:hAnsi="Times New Roman" w:cs="Times New Roman"/>
          <w:sz w:val="24"/>
          <w:szCs w:val="24"/>
        </w:rPr>
        <w:t>Regulamenta a aplicação da Lei Complementar n° 226/2026, de 13 janeiro de 2026, no âmbito da Câmara Municipal de Itapevi e dá outras providências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5C0B37" w:rsidRPr="005C0B37">
        <w:rPr>
          <w:rFonts w:ascii="Times New Roman" w:hAnsi="Times New Roman" w:cs="Times New Roman"/>
          <w:sz w:val="24"/>
          <w:szCs w:val="24"/>
        </w:rPr>
        <w:t>.</w:t>
      </w:r>
    </w:p>
    <w:p w14:paraId="3BCD7901" w14:textId="77777777" w:rsidR="005C0B37" w:rsidRPr="005C0B37" w:rsidRDefault="005C0B37" w:rsidP="005C0B37">
      <w:pPr>
        <w:ind w:left="2410"/>
        <w:jc w:val="both"/>
        <w:rPr>
          <w:rFonts w:ascii="Times New Roman" w:hAnsi="Times New Roman" w:cs="Times New Roman"/>
          <w:sz w:val="24"/>
          <w:szCs w:val="24"/>
        </w:rPr>
      </w:pPr>
    </w:p>
    <w:p w14:paraId="49C46595" w14:textId="4DC3748D" w:rsidR="005C0B37" w:rsidRDefault="005C0B37" w:rsidP="00054F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B37">
        <w:rPr>
          <w:rFonts w:ascii="Times New Roman" w:hAnsi="Times New Roman" w:cs="Times New Roman"/>
          <w:sz w:val="24"/>
          <w:szCs w:val="24"/>
        </w:rPr>
        <w:t xml:space="preserve">A </w:t>
      </w:r>
      <w:r w:rsidR="00054F5F" w:rsidRPr="00054F5F">
        <w:rPr>
          <w:rFonts w:ascii="Times New Roman" w:hAnsi="Times New Roman" w:cs="Times New Roman"/>
          <w:b/>
          <w:bCs/>
          <w:sz w:val="24"/>
          <w:szCs w:val="24"/>
        </w:rPr>
        <w:t>MESA DIRETORA DA CÂMARA MUNICIPAL DE ITAPEVI</w:t>
      </w:r>
      <w:r w:rsidRPr="005C0B37">
        <w:rPr>
          <w:rFonts w:ascii="Times New Roman" w:hAnsi="Times New Roman" w:cs="Times New Roman"/>
          <w:sz w:val="24"/>
          <w:szCs w:val="24"/>
        </w:rPr>
        <w:t xml:space="preserve">, </w:t>
      </w:r>
      <w:r w:rsidR="00054F5F">
        <w:rPr>
          <w:rFonts w:ascii="Times New Roman" w:hAnsi="Times New Roman" w:cs="Times New Roman"/>
          <w:sz w:val="24"/>
          <w:szCs w:val="24"/>
        </w:rPr>
        <w:t>no uso</w:t>
      </w:r>
      <w:r w:rsidRPr="005C0B37">
        <w:rPr>
          <w:rFonts w:ascii="Times New Roman" w:hAnsi="Times New Roman" w:cs="Times New Roman"/>
          <w:sz w:val="24"/>
          <w:szCs w:val="24"/>
        </w:rPr>
        <w:t xml:space="preserve"> das</w:t>
      </w:r>
      <w:r w:rsidR="00054F5F">
        <w:rPr>
          <w:rFonts w:ascii="Times New Roman" w:hAnsi="Times New Roman" w:cs="Times New Roman"/>
          <w:sz w:val="24"/>
          <w:szCs w:val="24"/>
        </w:rPr>
        <w:t xml:space="preserve"> suas</w:t>
      </w:r>
      <w:r w:rsidRPr="005C0B37">
        <w:rPr>
          <w:rFonts w:ascii="Times New Roman" w:hAnsi="Times New Roman" w:cs="Times New Roman"/>
          <w:sz w:val="24"/>
          <w:szCs w:val="24"/>
        </w:rPr>
        <w:t xml:space="preserve"> atribuições </w:t>
      </w:r>
      <w:r w:rsidR="00054F5F">
        <w:rPr>
          <w:rFonts w:ascii="Times New Roman" w:hAnsi="Times New Roman" w:cs="Times New Roman"/>
          <w:sz w:val="24"/>
          <w:szCs w:val="24"/>
        </w:rPr>
        <w:t>legais</w:t>
      </w:r>
      <w:r w:rsidRPr="005C0B37">
        <w:rPr>
          <w:rFonts w:ascii="Times New Roman" w:hAnsi="Times New Roman" w:cs="Times New Roman"/>
          <w:sz w:val="24"/>
          <w:szCs w:val="24"/>
        </w:rPr>
        <w:t>,</w:t>
      </w:r>
      <w:r w:rsidR="00054F5F">
        <w:rPr>
          <w:rFonts w:ascii="Times New Roman" w:hAnsi="Times New Roman" w:cs="Times New Roman"/>
          <w:sz w:val="24"/>
          <w:szCs w:val="24"/>
        </w:rPr>
        <w:t xml:space="preserve"> </w:t>
      </w:r>
      <w:r w:rsidR="00054F5F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50C5BC7B" w14:textId="77777777" w:rsidR="00054F5F" w:rsidRPr="00054F5F" w:rsidRDefault="00054F5F" w:rsidP="00054F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9D17C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5C0B37">
        <w:rPr>
          <w:rFonts w:ascii="Times New Roman" w:hAnsi="Times New Roman" w:cs="Times New Roman"/>
          <w:sz w:val="24"/>
          <w:szCs w:val="24"/>
        </w:rPr>
        <w:t xml:space="preserve"> Fica determinada a integral contagem de tempo do período compreendido entre os dias 28 de maio de 2020 e 31 de dezembro de 2021- Descongela, para efeito de considerar como período aquisitivo necessário para a concessão de adicionais por tempo de serviço, licenças-prêmio, sexta-parte e demais mecanismos equivalentes, a todos os servidores que estiveram vinculados à Câmara Municipal de Itapevi nesse período, inclusive os que passaram à inatividade, faleceram ou se exoneraram a pedido ou a bem do serviço público.</w:t>
      </w:r>
    </w:p>
    <w:p w14:paraId="7266390B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5C0B37">
        <w:rPr>
          <w:rFonts w:ascii="Times New Roman" w:hAnsi="Times New Roman" w:cs="Times New Roman"/>
          <w:sz w:val="24"/>
          <w:szCs w:val="24"/>
        </w:rPr>
        <w:t xml:space="preserve"> A aplicação desta Resolução observará os limites de despesa com pessoal, a legislação orçamentária, e as demais normas de responsabilidade fiscal vigentes.</w:t>
      </w:r>
    </w:p>
    <w:p w14:paraId="56A74146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5C0B37">
        <w:rPr>
          <w:rFonts w:ascii="Times New Roman" w:hAnsi="Times New Roman" w:cs="Times New Roman"/>
          <w:sz w:val="24"/>
          <w:szCs w:val="24"/>
        </w:rPr>
        <w:t xml:space="preserve"> Caberá a Coordenadoria de Recursos Humanos da Câmara Municipal efetuar o controle e registro da efetiva contagem de tempo do período aquisitivo de que trata o art. 1º desta Resolução, possibilitando os reflexos na vida funcional dos servidores e nas folhas de pagamento.</w:t>
      </w:r>
    </w:p>
    <w:p w14:paraId="697FF205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5C0B37">
        <w:rPr>
          <w:rFonts w:ascii="Times New Roman" w:hAnsi="Times New Roman" w:cs="Times New Roman"/>
          <w:sz w:val="24"/>
          <w:szCs w:val="24"/>
        </w:rPr>
        <w:t>Nos termos do art. 8º-A da Lei Complementar nº 173/2020, com redação dada pela Lei Complementar nº 226/2026, a autorização de pagamentos retroativos relacionados à contagem de tempo de que trata esta Resolução dependerá de Ato da Mesa Diretora, com a posterior regulamentação que será editada no mês de outubro do corrente ano.</w:t>
      </w:r>
    </w:p>
    <w:p w14:paraId="6C74909E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>Art.4º</w:t>
      </w:r>
      <w:r w:rsidRPr="005C0B37">
        <w:rPr>
          <w:rFonts w:ascii="Times New Roman" w:hAnsi="Times New Roman" w:cs="Times New Roman"/>
          <w:sz w:val="24"/>
          <w:szCs w:val="24"/>
        </w:rPr>
        <w:t xml:space="preserve"> Em cumprimento ao disposto no §1º do Art. 29ª da Constituição Federal, os valores a serem pagos referente a aplicação dessa lei não poderão ultrapassar 65% da receita anual da Câmara de Itapevi</w:t>
      </w:r>
    </w:p>
    <w:p w14:paraId="4EDCDF54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>§1º</w:t>
      </w:r>
      <w:r w:rsidRPr="005C0B37">
        <w:rPr>
          <w:rFonts w:ascii="Times New Roman" w:hAnsi="Times New Roman" w:cs="Times New Roman"/>
          <w:sz w:val="24"/>
          <w:szCs w:val="24"/>
        </w:rPr>
        <w:t xml:space="preserve"> Para o cálculo do limite citado no caput será considerado o somatório do valor das despesas de pessoal mensais com os valores a serem pagos referente ao Descongela.</w:t>
      </w:r>
    </w:p>
    <w:p w14:paraId="0A7082F1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C20D5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5C0B37">
        <w:rPr>
          <w:rFonts w:ascii="Times New Roman" w:hAnsi="Times New Roman" w:cs="Times New Roman"/>
          <w:sz w:val="24"/>
          <w:szCs w:val="24"/>
        </w:rPr>
        <w:t xml:space="preserve"> Os valores apurados a serem devolvidos bimestralmente, em cumprimento a Resolução nº 016/2024 e Nota Técnica nº 167/2021 do TCE-SP, deverão ser alocados conforme determina o Art. 6º da citada Resolução.</w:t>
      </w:r>
    </w:p>
    <w:p w14:paraId="7E645794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5C0B37">
        <w:rPr>
          <w:rFonts w:ascii="Times New Roman" w:hAnsi="Times New Roman" w:cs="Times New Roman"/>
          <w:sz w:val="24"/>
          <w:szCs w:val="24"/>
        </w:rPr>
        <w:t xml:space="preserve"> Os efeitos financeiros decorrentes da aplicação desta Resolução serão precedidos de estudos técnicos de impacto orçamentário e financeiro.</w:t>
      </w:r>
    </w:p>
    <w:p w14:paraId="6A80BE8D" w14:textId="77777777" w:rsidR="005C0B37" w:rsidRP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5C0B37">
        <w:rPr>
          <w:rFonts w:ascii="Times New Roman" w:hAnsi="Times New Roman" w:cs="Times New Roman"/>
          <w:sz w:val="24"/>
          <w:szCs w:val="24"/>
        </w:rPr>
        <w:t xml:space="preserve"> Esta Resolução entra em vigor na data de sua publicação.</w:t>
      </w:r>
    </w:p>
    <w:p w14:paraId="681B15BD" w14:textId="77777777" w:rsidR="005C0B37" w:rsidRDefault="005C0B37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 w:rsidRPr="00054F5F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Pr="005C0B37">
        <w:rPr>
          <w:rFonts w:ascii="Times New Roman" w:hAnsi="Times New Roman" w:cs="Times New Roman"/>
          <w:sz w:val="24"/>
          <w:szCs w:val="24"/>
        </w:rPr>
        <w:t xml:space="preserve"> Revogam-se as disposições em contrário.</w:t>
      </w:r>
    </w:p>
    <w:p w14:paraId="1E869AB3" w14:textId="77777777" w:rsidR="00054F5F" w:rsidRDefault="00054F5F" w:rsidP="005C0B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9E562" w14:textId="6AA8C46B" w:rsidR="00054F5F" w:rsidRDefault="00054F5F" w:rsidP="005C0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Sala das Sessões Bemvindo Moreira Nery, 11 de junho de 2026.</w:t>
      </w:r>
    </w:p>
    <w:p w14:paraId="54C0AF40" w14:textId="77777777" w:rsidR="00054F5F" w:rsidRDefault="00054F5F" w:rsidP="005C0B3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54F5F" w:rsidRPr="00054F5F" w14:paraId="38A94C73" w14:textId="77777777">
        <w:tc>
          <w:tcPr>
            <w:tcW w:w="9344" w:type="dxa"/>
            <w:gridSpan w:val="2"/>
          </w:tcPr>
          <w:p w14:paraId="1069F400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RAFAEL ALAN DE MORAES ROMEIRO</w:t>
            </w:r>
          </w:p>
          <w:p w14:paraId="4BC26783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Presidente</w:t>
            </w:r>
          </w:p>
          <w:p w14:paraId="7C09D950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E2D244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F5F" w:rsidRPr="00054F5F" w14:paraId="1ECE0E1E" w14:textId="77777777">
        <w:tc>
          <w:tcPr>
            <w:tcW w:w="4672" w:type="dxa"/>
          </w:tcPr>
          <w:p w14:paraId="51E6B822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ERONDINA FERREIRA GODOY</w:t>
            </w:r>
          </w:p>
          <w:p w14:paraId="1B32E0D2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14:paraId="09E7A46B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B6554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14:paraId="628B13CA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MAURÍCIO ALONSO MURAKAMI</w:t>
            </w:r>
          </w:p>
          <w:p w14:paraId="0C832924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sz w:val="24"/>
                <w:szCs w:val="24"/>
              </w:rPr>
              <w:t>1º Secretário</w:t>
            </w:r>
          </w:p>
        </w:tc>
      </w:tr>
      <w:tr w:rsidR="00054F5F" w:rsidRPr="00054F5F" w14:paraId="2FA40D40" w14:textId="77777777">
        <w:tc>
          <w:tcPr>
            <w:tcW w:w="4672" w:type="dxa"/>
            <w:hideMark/>
          </w:tcPr>
          <w:p w14:paraId="620045AD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PRISCILLA SOUZA MARIANO CAVANHA</w:t>
            </w:r>
          </w:p>
          <w:p w14:paraId="3F7DE134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sz w:val="24"/>
                <w:szCs w:val="24"/>
              </w:rPr>
              <w:t>2ª Secretária</w:t>
            </w:r>
          </w:p>
        </w:tc>
        <w:tc>
          <w:tcPr>
            <w:tcW w:w="4672" w:type="dxa"/>
          </w:tcPr>
          <w:p w14:paraId="5B355C2F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MATEUS ANDRADE DA SILVA SANTOS</w:t>
            </w:r>
          </w:p>
          <w:p w14:paraId="291E5E2D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sz w:val="24"/>
                <w:szCs w:val="24"/>
              </w:rPr>
              <w:t>3º Secretário</w:t>
            </w:r>
          </w:p>
          <w:p w14:paraId="0D0FBBCB" w14:textId="77777777" w:rsidR="00054F5F" w:rsidRPr="00054F5F" w:rsidRDefault="00054F5F" w:rsidP="00054F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4255A03" w14:textId="77777777" w:rsidR="00054F5F" w:rsidRPr="005C0B37" w:rsidRDefault="00054F5F" w:rsidP="005C0B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BDE640" w14:textId="77777777" w:rsidR="00054F5F" w:rsidRDefault="00054F5F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21DF0CA" w14:textId="5E5B183E" w:rsidR="005C0B37" w:rsidRDefault="005C0B37" w:rsidP="00054F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B37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0C48D477" w14:textId="77777777" w:rsidR="00054F5F" w:rsidRPr="005C0B37" w:rsidRDefault="00054F5F" w:rsidP="00054F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B5C43" w14:textId="77777777" w:rsidR="005C0B37" w:rsidRPr="005C0B37" w:rsidRDefault="005C0B37" w:rsidP="00054F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B37">
        <w:rPr>
          <w:rFonts w:ascii="Times New Roman" w:hAnsi="Times New Roman" w:cs="Times New Roman"/>
          <w:sz w:val="24"/>
          <w:szCs w:val="24"/>
        </w:rPr>
        <w:t>Considerando a Lei Complementar nº 226, de 12 de janeiro de 2026, publicada no Diário Oficial da União em 13 de janeiro de 2026, que altera a Lei Complementar nº 173, de 27 de maio de 2020, para prever a autorização de pagamentos retroativos de anuênio, triênio, quinquênio, sexta-parte, licença-prêmio e demais mecanismos equivalentes ao quadro de pessoal de entes federativos que decretaram estado de calamidade pública decorrente da pandemia da covid-19;</w:t>
      </w:r>
    </w:p>
    <w:p w14:paraId="25FF38F4" w14:textId="77777777" w:rsidR="005C0B37" w:rsidRPr="005C0B37" w:rsidRDefault="005C0B37" w:rsidP="00054F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B37">
        <w:rPr>
          <w:rFonts w:ascii="Times New Roman" w:hAnsi="Times New Roman" w:cs="Times New Roman"/>
          <w:sz w:val="24"/>
          <w:szCs w:val="24"/>
        </w:rPr>
        <w:t>Que a citada lei, em seu art. 3º, revoga o inciso IX do caput do art. 8º da Lei Complementar nº 173, de 27 de maio de 2020, que impedia a contagem de tempo do período compreendido entre 28 de maio de 2020 e 31 de dezembro de 2021 como de período aquisitivo necessário para a concessão de anuênios, triênios, quinquênios, licenças-prêmio e demais mecanismos equivalentes que aumentem a despesa com pessoal em decorrência da aquisição de determinado tempo de serviço.</w:t>
      </w:r>
    </w:p>
    <w:p w14:paraId="4B38AE7A" w14:textId="77777777" w:rsidR="005C0B37" w:rsidRPr="005C0B37" w:rsidRDefault="005C0B37" w:rsidP="00054F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B37">
        <w:rPr>
          <w:rFonts w:ascii="Times New Roman" w:hAnsi="Times New Roman" w:cs="Times New Roman"/>
          <w:sz w:val="24"/>
          <w:szCs w:val="24"/>
        </w:rPr>
        <w:t>Faz- se necessário oficializar tal contagem de tempo no âmbito da Câmara Municipal de Itapevi, garantindo segurança jurídica, transparência e isonomia entre os servidores;</w:t>
      </w:r>
    </w:p>
    <w:p w14:paraId="588A53E3" w14:textId="77777777" w:rsidR="005C0B37" w:rsidRPr="005C0B37" w:rsidRDefault="005C0B37" w:rsidP="00054F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B6F99F" w14:textId="77777777" w:rsidR="00054F5F" w:rsidRDefault="00054F5F" w:rsidP="00054F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 Bemvindo Moreira Nery, 11 de junho de 2026.</w:t>
      </w:r>
    </w:p>
    <w:p w14:paraId="46932380" w14:textId="77777777" w:rsidR="00054F5F" w:rsidRDefault="00054F5F" w:rsidP="00054F5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54F5F" w:rsidRPr="00054F5F" w14:paraId="44733874" w14:textId="77777777" w:rsidTr="004F7D9A">
        <w:tc>
          <w:tcPr>
            <w:tcW w:w="9344" w:type="dxa"/>
            <w:gridSpan w:val="2"/>
          </w:tcPr>
          <w:p w14:paraId="15C5BE11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RAFAEL ALAN DE MORAES ROMEIRO</w:t>
            </w:r>
          </w:p>
          <w:p w14:paraId="5E196079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Presidente</w:t>
            </w:r>
          </w:p>
          <w:p w14:paraId="0E96FB0B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299CDA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F5F" w:rsidRPr="00054F5F" w14:paraId="0014D989" w14:textId="77777777" w:rsidTr="004F7D9A">
        <w:tc>
          <w:tcPr>
            <w:tcW w:w="4672" w:type="dxa"/>
          </w:tcPr>
          <w:p w14:paraId="13498B24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ERONDINA FERREIRA GODOY</w:t>
            </w:r>
          </w:p>
          <w:p w14:paraId="076BA51F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14:paraId="47AA3CDA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D3F93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14:paraId="70ACD612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MAURÍCIO ALONSO MURAKAMI</w:t>
            </w:r>
          </w:p>
          <w:p w14:paraId="319D716B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sz w:val="24"/>
                <w:szCs w:val="24"/>
              </w:rPr>
              <w:t>1º Secretário</w:t>
            </w:r>
          </w:p>
        </w:tc>
      </w:tr>
      <w:tr w:rsidR="00054F5F" w:rsidRPr="00054F5F" w14:paraId="4A760813" w14:textId="77777777" w:rsidTr="004F7D9A">
        <w:tc>
          <w:tcPr>
            <w:tcW w:w="4672" w:type="dxa"/>
            <w:hideMark/>
          </w:tcPr>
          <w:p w14:paraId="3AEA1112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PRISCILLA SOUZA MARIANO CAVANHA</w:t>
            </w:r>
          </w:p>
          <w:p w14:paraId="409DB123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sz w:val="24"/>
                <w:szCs w:val="24"/>
              </w:rPr>
              <w:t>2ª Secretária</w:t>
            </w:r>
          </w:p>
        </w:tc>
        <w:tc>
          <w:tcPr>
            <w:tcW w:w="4672" w:type="dxa"/>
          </w:tcPr>
          <w:p w14:paraId="7CA16BC5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MATEUS ANDRADE DA SILVA SANTOS</w:t>
            </w:r>
          </w:p>
          <w:p w14:paraId="57B05F86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5F">
              <w:rPr>
                <w:rFonts w:ascii="Times New Roman" w:hAnsi="Times New Roman" w:cs="Times New Roman"/>
                <w:sz w:val="24"/>
                <w:szCs w:val="24"/>
              </w:rPr>
              <w:t>3º Secretário</w:t>
            </w:r>
          </w:p>
          <w:p w14:paraId="244D745E" w14:textId="77777777" w:rsidR="00054F5F" w:rsidRPr="00054F5F" w:rsidRDefault="00054F5F" w:rsidP="004F7D9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AB65CE" w14:textId="77777777" w:rsidR="008C45BE" w:rsidRPr="005C0B37" w:rsidRDefault="008C45BE" w:rsidP="00AE1AAB">
      <w:pPr>
        <w:rPr>
          <w:rFonts w:ascii="Times New Roman" w:hAnsi="Times New Roman" w:cs="Times New Roman"/>
          <w:sz w:val="24"/>
          <w:szCs w:val="24"/>
        </w:rPr>
      </w:pPr>
    </w:p>
    <w:sectPr w:rsidR="008C45BE" w:rsidRPr="005C0B37" w:rsidSect="006B536A">
      <w:headerReference w:type="even" r:id="rId8"/>
      <w:headerReference w:type="default" r:id="rId9"/>
      <w:headerReference w:type="first" r:id="rId10"/>
      <w:pgSz w:w="11906" w:h="16838" w:code="9"/>
      <w:pgMar w:top="2552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C1ED" w14:textId="77777777" w:rsidR="005E415B" w:rsidRDefault="005E415B">
      <w:pPr>
        <w:spacing w:after="0" w:line="240" w:lineRule="auto"/>
      </w:pPr>
      <w:r>
        <w:separator/>
      </w:r>
    </w:p>
  </w:endnote>
  <w:endnote w:type="continuationSeparator" w:id="0">
    <w:p w14:paraId="1FC8624E" w14:textId="77777777" w:rsidR="005E415B" w:rsidRDefault="005E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EB023" w14:textId="77777777" w:rsidR="005E415B" w:rsidRDefault="005E415B">
      <w:pPr>
        <w:spacing w:after="0" w:line="240" w:lineRule="auto"/>
      </w:pPr>
      <w:r>
        <w:separator/>
      </w:r>
    </w:p>
  </w:footnote>
  <w:footnote w:type="continuationSeparator" w:id="0">
    <w:p w14:paraId="0A5A2BDE" w14:textId="77777777" w:rsidR="005E415B" w:rsidRDefault="005E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A3E5" w14:textId="77777777" w:rsidR="004B11B6" w:rsidRDefault="00000000">
    <w:pPr>
      <w:pStyle w:val="Cabealho"/>
    </w:pPr>
    <w:r>
      <w:rPr>
        <w:noProof/>
      </w:rPr>
      <w:pict w14:anchorId="7812E4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F6B1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7D5C43F" wp14:editId="72146C10">
          <wp:simplePos x="0" y="0"/>
          <wp:positionH relativeFrom="page">
            <wp:posOffset>7620</wp:posOffset>
          </wp:positionH>
          <wp:positionV relativeFrom="paragraph">
            <wp:posOffset>-1311487</wp:posOffset>
          </wp:positionV>
          <wp:extent cx="7545070" cy="10193760"/>
          <wp:effectExtent l="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A8220" w14:textId="77777777" w:rsidR="004B11B6" w:rsidRDefault="00000000">
    <w:pPr>
      <w:pStyle w:val="Cabealho"/>
    </w:pPr>
    <w:r>
      <w:rPr>
        <w:noProof/>
      </w:rPr>
      <w:pict w14:anchorId="718FA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3091">
    <w:abstractNumId w:val="4"/>
  </w:num>
  <w:num w:numId="2" w16cid:durableId="490298042">
    <w:abstractNumId w:val="1"/>
  </w:num>
  <w:num w:numId="3" w16cid:durableId="1715301934">
    <w:abstractNumId w:val="2"/>
  </w:num>
  <w:num w:numId="4" w16cid:durableId="302203479">
    <w:abstractNumId w:val="0"/>
  </w:num>
  <w:num w:numId="5" w16cid:durableId="104139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052F7"/>
    <w:rsid w:val="0001353D"/>
    <w:rsid w:val="00034BC5"/>
    <w:rsid w:val="00054F5F"/>
    <w:rsid w:val="000638AE"/>
    <w:rsid w:val="000642D8"/>
    <w:rsid w:val="00076E21"/>
    <w:rsid w:val="000A2F6C"/>
    <w:rsid w:val="000A7B5F"/>
    <w:rsid w:val="000E2164"/>
    <w:rsid w:val="000E51F0"/>
    <w:rsid w:val="001367E3"/>
    <w:rsid w:val="00140DBB"/>
    <w:rsid w:val="0014109B"/>
    <w:rsid w:val="001565C9"/>
    <w:rsid w:val="00156642"/>
    <w:rsid w:val="001605C4"/>
    <w:rsid w:val="00186CB1"/>
    <w:rsid w:val="001874C4"/>
    <w:rsid w:val="001B3EBC"/>
    <w:rsid w:val="001D5DE5"/>
    <w:rsid w:val="001E6362"/>
    <w:rsid w:val="00202527"/>
    <w:rsid w:val="002262F6"/>
    <w:rsid w:val="002272AF"/>
    <w:rsid w:val="0023162B"/>
    <w:rsid w:val="00243B9F"/>
    <w:rsid w:val="002501C3"/>
    <w:rsid w:val="00281321"/>
    <w:rsid w:val="002B5122"/>
    <w:rsid w:val="0030252F"/>
    <w:rsid w:val="00327497"/>
    <w:rsid w:val="003307C4"/>
    <w:rsid w:val="00333CD3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6C62"/>
    <w:rsid w:val="00430659"/>
    <w:rsid w:val="004B11B6"/>
    <w:rsid w:val="004D1AB8"/>
    <w:rsid w:val="004F5BDD"/>
    <w:rsid w:val="0055570B"/>
    <w:rsid w:val="005639AB"/>
    <w:rsid w:val="0058508C"/>
    <w:rsid w:val="00585C0C"/>
    <w:rsid w:val="005959C7"/>
    <w:rsid w:val="00597755"/>
    <w:rsid w:val="005979F0"/>
    <w:rsid w:val="005A7704"/>
    <w:rsid w:val="005B156F"/>
    <w:rsid w:val="005C0B37"/>
    <w:rsid w:val="005E415B"/>
    <w:rsid w:val="005F4268"/>
    <w:rsid w:val="00672462"/>
    <w:rsid w:val="006B536A"/>
    <w:rsid w:val="006D314B"/>
    <w:rsid w:val="006F0BA0"/>
    <w:rsid w:val="007000C2"/>
    <w:rsid w:val="00722F88"/>
    <w:rsid w:val="007320E9"/>
    <w:rsid w:val="00740B7D"/>
    <w:rsid w:val="007C44E3"/>
    <w:rsid w:val="007F1EDF"/>
    <w:rsid w:val="007F6A97"/>
    <w:rsid w:val="00853FBD"/>
    <w:rsid w:val="00870521"/>
    <w:rsid w:val="008C45BE"/>
    <w:rsid w:val="008E3BAE"/>
    <w:rsid w:val="009141A5"/>
    <w:rsid w:val="00915907"/>
    <w:rsid w:val="00917FC1"/>
    <w:rsid w:val="00925314"/>
    <w:rsid w:val="00934DC4"/>
    <w:rsid w:val="00947237"/>
    <w:rsid w:val="009522A9"/>
    <w:rsid w:val="00984FAB"/>
    <w:rsid w:val="00992C9B"/>
    <w:rsid w:val="009C74C2"/>
    <w:rsid w:val="009D1081"/>
    <w:rsid w:val="009D345A"/>
    <w:rsid w:val="009E6C53"/>
    <w:rsid w:val="009F009E"/>
    <w:rsid w:val="009F1BB0"/>
    <w:rsid w:val="00A01F45"/>
    <w:rsid w:val="00A114F0"/>
    <w:rsid w:val="00A16975"/>
    <w:rsid w:val="00A34767"/>
    <w:rsid w:val="00A36037"/>
    <w:rsid w:val="00A42A56"/>
    <w:rsid w:val="00A430EF"/>
    <w:rsid w:val="00A86C58"/>
    <w:rsid w:val="00AE1302"/>
    <w:rsid w:val="00AE1AAB"/>
    <w:rsid w:val="00B31615"/>
    <w:rsid w:val="00B62BB5"/>
    <w:rsid w:val="00B91DC3"/>
    <w:rsid w:val="00BA410E"/>
    <w:rsid w:val="00BB295F"/>
    <w:rsid w:val="00BB799F"/>
    <w:rsid w:val="00BC229F"/>
    <w:rsid w:val="00BC3D78"/>
    <w:rsid w:val="00BC69F5"/>
    <w:rsid w:val="00BD4B13"/>
    <w:rsid w:val="00BD640C"/>
    <w:rsid w:val="00BE3FAD"/>
    <w:rsid w:val="00BE4077"/>
    <w:rsid w:val="00C020B1"/>
    <w:rsid w:val="00C02678"/>
    <w:rsid w:val="00C25F0D"/>
    <w:rsid w:val="00C375EE"/>
    <w:rsid w:val="00C440E9"/>
    <w:rsid w:val="00C62D92"/>
    <w:rsid w:val="00C84443"/>
    <w:rsid w:val="00CA21E1"/>
    <w:rsid w:val="00CB021B"/>
    <w:rsid w:val="00CC7805"/>
    <w:rsid w:val="00CF2272"/>
    <w:rsid w:val="00D162DE"/>
    <w:rsid w:val="00D26633"/>
    <w:rsid w:val="00D27B35"/>
    <w:rsid w:val="00D4368A"/>
    <w:rsid w:val="00D53BC5"/>
    <w:rsid w:val="00D722FF"/>
    <w:rsid w:val="00D97AD9"/>
    <w:rsid w:val="00DA59C3"/>
    <w:rsid w:val="00DD3F1D"/>
    <w:rsid w:val="00DD4208"/>
    <w:rsid w:val="00E22A39"/>
    <w:rsid w:val="00E2751F"/>
    <w:rsid w:val="00E335E0"/>
    <w:rsid w:val="00E44D9F"/>
    <w:rsid w:val="00E7394E"/>
    <w:rsid w:val="00E86C3D"/>
    <w:rsid w:val="00EA17A5"/>
    <w:rsid w:val="00EB339F"/>
    <w:rsid w:val="00ED0317"/>
    <w:rsid w:val="00F261CF"/>
    <w:rsid w:val="00F31551"/>
    <w:rsid w:val="00F60190"/>
    <w:rsid w:val="00F61F28"/>
    <w:rsid w:val="00F71511"/>
    <w:rsid w:val="00F71783"/>
    <w:rsid w:val="00F76529"/>
    <w:rsid w:val="00F82912"/>
    <w:rsid w:val="00F84E5A"/>
    <w:rsid w:val="00F90B0A"/>
    <w:rsid w:val="00F97098"/>
    <w:rsid w:val="00FB19B0"/>
    <w:rsid w:val="00FC3399"/>
    <w:rsid w:val="00FD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697391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F5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apple-tab-span">
    <w:name w:val="apple-tab-span"/>
    <w:basedOn w:val="Fontepargpadro"/>
    <w:rsid w:val="00D7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945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35CF-87A0-44EF-A095-D501417D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642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Adriano Duarte Do Nascimento</cp:lastModifiedBy>
  <cp:revision>5</cp:revision>
  <cp:lastPrinted>2026-05-26T19:56:00Z</cp:lastPrinted>
  <dcterms:created xsi:type="dcterms:W3CDTF">2026-06-12T13:30:00Z</dcterms:created>
  <dcterms:modified xsi:type="dcterms:W3CDTF">2026-06-12T19:06:00Z</dcterms:modified>
</cp:coreProperties>
</file>