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1C66D0F2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7211D1">
        <w:rPr>
          <w:rFonts w:ascii="Times New Roman" w:hAnsi="Times New Roman" w:cs="Times New Roman"/>
          <w:b/>
          <w:bCs/>
          <w:sz w:val="24"/>
          <w:szCs w:val="24"/>
          <w:u w:val="single"/>
        </w:rPr>
        <w:t>61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0A1CDEA7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35666">
        <w:rPr>
          <w:rFonts w:ascii="Times New Roman" w:hAnsi="Times New Roman" w:cs="Times New Roman"/>
          <w:b/>
          <w:bCs/>
          <w:sz w:val="24"/>
          <w:szCs w:val="24"/>
          <w:u w:val="single"/>
        </w:rPr>
        <w:t>044</w:t>
      </w:r>
      <w:r w:rsidR="00EB311B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D15189E" w14:textId="34BD5CCE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B35666">
        <w:rPr>
          <w:rFonts w:ascii="TimesNewRomanPSMT" w:hAnsi="TimesNewRomanPSMT" w:cs="TimesNewRomanPSMT"/>
          <w:sz w:val="24"/>
          <w:szCs w:val="24"/>
        </w:rPr>
        <w:t>“Dispõe sobre o Pacto Municipal Contra o Feminicídio,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35666">
        <w:rPr>
          <w:rFonts w:ascii="TimesNewRomanPSMT" w:hAnsi="TimesNewRomanPSMT" w:cs="TimesNewRomanPSMT"/>
          <w:sz w:val="24"/>
          <w:szCs w:val="24"/>
        </w:rPr>
        <w:t>estabelece diretrizes para a prevenção e o enfrentamento à</w:t>
      </w:r>
    </w:p>
    <w:p w14:paraId="728D2234" w14:textId="7D5E22B0" w:rsidR="00F010AF" w:rsidRDefault="00B35666" w:rsidP="007211D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B35666">
        <w:rPr>
          <w:rFonts w:ascii="TimesNewRomanPSMT" w:hAnsi="TimesNewRomanPSMT" w:cs="TimesNewRomanPSMT"/>
          <w:sz w:val="24"/>
          <w:szCs w:val="24"/>
        </w:rPr>
        <w:t>violência contra a mulher e dá outras providencias.”</w:t>
      </w:r>
    </w:p>
    <w:p w14:paraId="1A3BA481" w14:textId="77777777" w:rsidR="00B35666" w:rsidRPr="00556E63" w:rsidRDefault="00B35666" w:rsidP="007211D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63C705EA" w:rsidR="00F54DA9" w:rsidRDefault="008D1F4C" w:rsidP="007211D1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B35666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2A902D14" w14:textId="77777777" w:rsidR="007211D1" w:rsidRDefault="007211D1" w:rsidP="007211D1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29598524" w14:textId="5088BBD7" w:rsidR="007211D1" w:rsidRDefault="007211D1" w:rsidP="007211D1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ELIAS VASCONCELOS ARAÚJO – REPUBLICANOS, ERONDINA FERREIRA GODOY – PSD, FÁBIO DE FREITAS – MDB, MATEUS ANDRADE DA SILVA SANTOS – PL, MARIZA MARTINS BORGES – PODEMOS E THIAGO HENRIQUE CAMPAGNARO MOITINHO – MDB.</w:t>
      </w:r>
    </w:p>
    <w:p w14:paraId="2C3BDA3A" w14:textId="2010FBEC" w:rsidR="008D1F4C" w:rsidRPr="00F05D99" w:rsidRDefault="008D1F4C" w:rsidP="007211D1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78E00704" w14:textId="77777777" w:rsidR="00F010AF" w:rsidRDefault="00F010AF" w:rsidP="007211D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E05303" w14:textId="77777777" w:rsidR="00B35666" w:rsidRDefault="00B35666" w:rsidP="007211D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0DAEC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Disposições Gerais</w:t>
      </w:r>
    </w:p>
    <w:p w14:paraId="3B34548B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CE89F0" w14:textId="328DC54A" w:rsid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B35666">
        <w:rPr>
          <w:rFonts w:ascii="Times New Roman" w:hAnsi="Times New Roman" w:cs="Times New Roman"/>
          <w:sz w:val="24"/>
          <w:szCs w:val="24"/>
        </w:rPr>
        <w:t>Fica estabelecido o Pacto Municipal Contra o Feminicídio, como instrumento permanente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de articulação interinstitucional destinado à prevenção e ao enfrentamento da violência contra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mulher.</w:t>
      </w:r>
    </w:p>
    <w:p w14:paraId="578064C6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8B6AC" w14:textId="1AB9ACBC" w:rsid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B35666">
        <w:rPr>
          <w:rFonts w:ascii="Times New Roman" w:hAnsi="Times New Roman" w:cs="Times New Roman"/>
          <w:sz w:val="24"/>
          <w:szCs w:val="24"/>
        </w:rPr>
        <w:t xml:space="preserve"> O Pacto possui natureza programática e orientadora, não implicando criação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cargos, funções, estruturas administrativas ou despesas obrigatórias sem prévia dotação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orçamentária.</w:t>
      </w:r>
    </w:p>
    <w:p w14:paraId="5696C32A" w14:textId="77777777" w:rsidR="007211D1" w:rsidRDefault="007211D1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A2F07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91EBC" w14:textId="40D83699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lastRenderedPageBreak/>
        <w:t>CAPÍTULO II</w:t>
      </w:r>
    </w:p>
    <w:p w14:paraId="53AC754A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Fundamentação Jurídica</w:t>
      </w:r>
    </w:p>
    <w:p w14:paraId="562FAF6B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1C7E8A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B35666">
        <w:rPr>
          <w:rFonts w:ascii="Times New Roman" w:hAnsi="Times New Roman" w:cs="Times New Roman"/>
          <w:sz w:val="24"/>
          <w:szCs w:val="24"/>
        </w:rPr>
        <w:t>O Pacto Municipal Contra o Feminicídio fundamenta-se:</w:t>
      </w:r>
    </w:p>
    <w:p w14:paraId="2E685DB4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2F21C3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art. 1º, inciso III, da Constituição Federal de 1988, que consagra a dignidade da pessoa</w:t>
      </w:r>
    </w:p>
    <w:p w14:paraId="752F276E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humana como fundamento da República;</w:t>
      </w:r>
    </w:p>
    <w:p w14:paraId="3C5E71E8" w14:textId="41E0D073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art. 3º, inciso IV, da Constituição Federal, que estabelece como objetivo fundamental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República a promoção do bem de todos, sem quaisquer formas de discriminação;</w:t>
      </w:r>
    </w:p>
    <w:p w14:paraId="7B40379D" w14:textId="71DB1ED1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III – no art. 5º, caput, da Constituição Federal, que assegura a inviolabilidade do direito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vida,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igualdade e à segurança;</w:t>
      </w:r>
    </w:p>
    <w:p w14:paraId="69A26AA2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art. 6º da Constituição Federal, que reconhece a segurança e a assistência social como</w:t>
      </w:r>
    </w:p>
    <w:p w14:paraId="4F6CEE4E" w14:textId="77777777" w:rsidR="00B35666" w:rsidRDefault="00B35666" w:rsidP="007211D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direitos sociais;</w:t>
      </w:r>
    </w:p>
    <w:p w14:paraId="6EA49A34" w14:textId="272EF4AA" w:rsidR="00B35666" w:rsidRPr="00B35666" w:rsidRDefault="00B35666" w:rsidP="007211D1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art. 23, incisos I e II, da Constituição Federal, que prevê competência comum dos entes</w:t>
      </w:r>
    </w:p>
    <w:p w14:paraId="3BBCB261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federativos para zelar pelas instituições democráticas e cuidar da saúde e assistência pública;</w:t>
      </w:r>
    </w:p>
    <w:p w14:paraId="0832965B" w14:textId="561B2A1B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art. 30, incisos I e II, da Constituição Federal, que atribui ao Município competência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legislar sobre assuntos de interesse local e suplementar a legislação federal e estadual;</w:t>
      </w:r>
    </w:p>
    <w:p w14:paraId="0D6867B0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VII – nas diretrizes estabelecidas pela Lei Maria da Penha;</w:t>
      </w:r>
    </w:p>
    <w:p w14:paraId="10A70987" w14:textId="23E1182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VIII – nas disposições da Lei do Feminicídio;</w:t>
      </w:r>
    </w:p>
    <w:p w14:paraId="77C5A980" w14:textId="75A1EEAD" w:rsid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IX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nos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compromissos internacionais assumidos pelo Brasil na Convenção de Belém do Pará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na Convenção sobre a Eliminação de Todas as Formas de Discriminação contra a Mulher.</w:t>
      </w:r>
    </w:p>
    <w:p w14:paraId="3788DA82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48085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CAPÍTULO III</w:t>
      </w:r>
    </w:p>
    <w:p w14:paraId="48C3533F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Diretrizes</w:t>
      </w:r>
    </w:p>
    <w:p w14:paraId="5D4351DD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D6524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B35666">
        <w:rPr>
          <w:rFonts w:ascii="Times New Roman" w:hAnsi="Times New Roman" w:cs="Times New Roman"/>
          <w:sz w:val="24"/>
          <w:szCs w:val="24"/>
        </w:rPr>
        <w:t>Constituem diretrizes do Pacto:</w:t>
      </w:r>
    </w:p>
    <w:p w14:paraId="0B898C16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FDD3F9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integração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da rede de atendimento à mulher;</w:t>
      </w:r>
    </w:p>
    <w:p w14:paraId="01B9AC49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articulação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entre saúde, assistência social e educação;</w:t>
      </w:r>
    </w:p>
    <w:p w14:paraId="4B13222C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>III – promoção de campanhas educativas permanentes;</w:t>
      </w:r>
    </w:p>
    <w:p w14:paraId="3812BE8F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lastRenderedPageBreak/>
        <w:t xml:space="preserve">IV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capacitação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periódica dos agentes públicos;</w:t>
      </w:r>
    </w:p>
    <w:p w14:paraId="42253836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cooperação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com o Poder Judiciário, Ministério Público e Defensoria Pública;</w:t>
      </w:r>
    </w:p>
    <w:p w14:paraId="28EA354D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B35666">
        <w:rPr>
          <w:rFonts w:ascii="Times New Roman" w:hAnsi="Times New Roman" w:cs="Times New Roman"/>
          <w:sz w:val="24"/>
          <w:szCs w:val="24"/>
        </w:rPr>
        <w:t>monitoramento</w:t>
      </w:r>
      <w:proofErr w:type="gramEnd"/>
      <w:r w:rsidRPr="00B35666">
        <w:rPr>
          <w:rFonts w:ascii="Times New Roman" w:hAnsi="Times New Roman" w:cs="Times New Roman"/>
          <w:sz w:val="24"/>
          <w:szCs w:val="24"/>
        </w:rPr>
        <w:t xml:space="preserve"> estatístico de indicadores relacionados à violência contra a mulher.</w:t>
      </w:r>
    </w:p>
    <w:p w14:paraId="28D1F315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0BA1F7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CAPÍTULO IV</w:t>
      </w:r>
    </w:p>
    <w:p w14:paraId="25515627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Implementação</w:t>
      </w:r>
    </w:p>
    <w:p w14:paraId="29D37D98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19BBB" w14:textId="337B5932" w:rsidR="00F010AF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B35666">
        <w:rPr>
          <w:rFonts w:ascii="Times New Roman" w:hAnsi="Times New Roman" w:cs="Times New Roman"/>
          <w:sz w:val="24"/>
          <w:szCs w:val="24"/>
        </w:rPr>
        <w:t>O Poder Executivo poderá regulamentar esta Lei por Decreto, definindo mecanismos de implementação das diretrizes estabelecidas.</w:t>
      </w:r>
    </w:p>
    <w:p w14:paraId="38CB766D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783F3" w14:textId="7DC9B84A" w:rsidR="00B35666" w:rsidRDefault="00B35666" w:rsidP="00721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B35666">
        <w:rPr>
          <w:rFonts w:ascii="Times New Roman" w:hAnsi="Times New Roman" w:cs="Times New Roman"/>
          <w:sz w:val="24"/>
          <w:szCs w:val="24"/>
        </w:rPr>
        <w:t xml:space="preserve"> A execução observará a disponibilidade orçamentária e a legislação financeira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666">
        <w:rPr>
          <w:rFonts w:ascii="Times New Roman" w:hAnsi="Times New Roman" w:cs="Times New Roman"/>
          <w:sz w:val="24"/>
          <w:szCs w:val="24"/>
        </w:rPr>
        <w:t>vigente, especialmente a Lei de Responsabilidade Fiscal.</w:t>
      </w:r>
    </w:p>
    <w:p w14:paraId="69543E86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179DDD" w14:textId="5FEF8B5F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CAPÍTULO V</w:t>
      </w:r>
    </w:p>
    <w:p w14:paraId="34C51685" w14:textId="77777777" w:rsid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>Disposição Final</w:t>
      </w:r>
    </w:p>
    <w:p w14:paraId="5BFC62F3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58F7B" w14:textId="07FDB1C7" w:rsid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5666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B35666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7B7489D2" w14:textId="77777777" w:rsidR="00B35666" w:rsidRPr="00B35666" w:rsidRDefault="00B35666" w:rsidP="007211D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04CB0E" w14:textId="77777777" w:rsidR="00B35666" w:rsidRDefault="00B35666" w:rsidP="00B356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653C351" w14:textId="246F834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3610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26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87C4" w14:textId="77777777" w:rsidR="004045C0" w:rsidRDefault="004045C0" w:rsidP="004B11B6">
      <w:pPr>
        <w:spacing w:after="0" w:line="240" w:lineRule="auto"/>
      </w:pPr>
      <w:r>
        <w:separator/>
      </w:r>
    </w:p>
  </w:endnote>
  <w:endnote w:type="continuationSeparator" w:id="0">
    <w:p w14:paraId="02599EBD" w14:textId="77777777" w:rsidR="004045C0" w:rsidRDefault="004045C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4045C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A2A2" w14:textId="77777777" w:rsidR="004045C0" w:rsidRDefault="004045C0" w:rsidP="004B11B6">
      <w:pPr>
        <w:spacing w:after="0" w:line="240" w:lineRule="auto"/>
      </w:pPr>
      <w:r>
        <w:separator/>
      </w:r>
    </w:p>
  </w:footnote>
  <w:footnote w:type="continuationSeparator" w:id="0">
    <w:p w14:paraId="09C8939F" w14:textId="77777777" w:rsidR="004045C0" w:rsidRDefault="004045C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4045C0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4045C0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4045C0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483C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11B4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B62EC"/>
    <w:rsid w:val="003C04C7"/>
    <w:rsid w:val="003D7A12"/>
    <w:rsid w:val="003E0CD0"/>
    <w:rsid w:val="003F651E"/>
    <w:rsid w:val="004045C0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5394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11D1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7E43C5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2ED7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4D75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5666"/>
    <w:rsid w:val="00B37EFA"/>
    <w:rsid w:val="00B61BCE"/>
    <w:rsid w:val="00B77DC0"/>
    <w:rsid w:val="00B83B79"/>
    <w:rsid w:val="00B84D44"/>
    <w:rsid w:val="00B92C2B"/>
    <w:rsid w:val="00BA02FF"/>
    <w:rsid w:val="00BA29EB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23961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B311B"/>
    <w:rsid w:val="00ED195B"/>
    <w:rsid w:val="00ED72DB"/>
    <w:rsid w:val="00EF20B4"/>
    <w:rsid w:val="00F010AF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2026-02-10T14:27:00Z</cp:lastPrinted>
  <dcterms:created xsi:type="dcterms:W3CDTF">2026-05-25T18:16:00Z</dcterms:created>
  <dcterms:modified xsi:type="dcterms:W3CDTF">2026-05-26T14:54:00Z</dcterms:modified>
</cp:coreProperties>
</file>