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0CEE99EF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FF5819">
        <w:rPr>
          <w:rFonts w:ascii="Times New Roman" w:hAnsi="Times New Roman" w:cs="Times New Roman"/>
          <w:b/>
          <w:bCs/>
          <w:sz w:val="24"/>
          <w:szCs w:val="24"/>
          <w:u w:val="single"/>
        </w:rPr>
        <w:t>59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8853652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311B">
        <w:rPr>
          <w:rFonts w:ascii="Times New Roman" w:hAnsi="Times New Roman" w:cs="Times New Roman"/>
          <w:b/>
          <w:bCs/>
          <w:sz w:val="24"/>
          <w:szCs w:val="24"/>
          <w:u w:val="single"/>
        </w:rPr>
        <w:t>015/2026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23D118F" w14:textId="494CEB41" w:rsidR="0075580A" w:rsidRDefault="00EB311B" w:rsidP="00EB311B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</w:t>
      </w:r>
      <w:r w:rsidRPr="00EB311B">
        <w:rPr>
          <w:rFonts w:ascii="TimesNewRomanPSMT" w:hAnsi="TimesNewRomanPSMT" w:cs="TimesNewRomanPSMT"/>
          <w:sz w:val="24"/>
          <w:szCs w:val="24"/>
        </w:rPr>
        <w:t>Institui a “Semana Escolar de Combate à Violência Contra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B311B">
        <w:rPr>
          <w:rFonts w:ascii="TimesNewRomanPSMT" w:hAnsi="TimesNewRomanPSMT" w:cs="TimesNewRomanPSMT"/>
          <w:sz w:val="24"/>
          <w:szCs w:val="24"/>
        </w:rPr>
        <w:t>a Mulher” nas escolas da rede pública e privada de ensino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B311B">
        <w:rPr>
          <w:rFonts w:ascii="TimesNewRomanPSMT" w:hAnsi="TimesNewRomanPSMT" w:cs="TimesNewRomanPSMT"/>
          <w:sz w:val="24"/>
          <w:szCs w:val="24"/>
        </w:rPr>
        <w:t>do Município de Itapevi e dá outras providências</w:t>
      </w:r>
      <w:r>
        <w:rPr>
          <w:rFonts w:ascii="TimesNewRomanPSMT" w:hAnsi="TimesNewRomanPSMT" w:cs="TimesNewRomanPSMT"/>
          <w:sz w:val="24"/>
          <w:szCs w:val="24"/>
        </w:rPr>
        <w:t>”</w:t>
      </w:r>
      <w:r w:rsidRPr="00EB311B">
        <w:rPr>
          <w:rFonts w:ascii="TimesNewRomanPSMT" w:hAnsi="TimesNewRomanPSMT" w:cs="TimesNewRomanPSMT"/>
          <w:sz w:val="24"/>
          <w:szCs w:val="24"/>
        </w:rPr>
        <w:t>.</w:t>
      </w:r>
    </w:p>
    <w:p w14:paraId="5C6B3456" w14:textId="77777777" w:rsidR="00EB311B" w:rsidRPr="00556E63" w:rsidRDefault="00EB311B" w:rsidP="00EB311B">
      <w:pPr>
        <w:autoSpaceDE w:val="0"/>
        <w:autoSpaceDN w:val="0"/>
        <w:adjustRightInd w:val="0"/>
        <w:spacing w:after="0" w:line="360" w:lineRule="auto"/>
        <w:ind w:left="3402"/>
        <w:rPr>
          <w:rFonts w:ascii="TimesNewRomanPSMT" w:hAnsi="TimesNewRomanPSMT" w:cs="TimesNewRomanPSMT"/>
          <w:sz w:val="24"/>
          <w:szCs w:val="24"/>
        </w:rPr>
      </w:pPr>
    </w:p>
    <w:p w14:paraId="017B188D" w14:textId="143F76E9" w:rsidR="00F54DA9" w:rsidRDefault="008D1F4C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EB311B">
        <w:rPr>
          <w:rFonts w:ascii="Times" w:hAnsi="Times" w:cs="Times New Roman"/>
          <w:b/>
          <w:sz w:val="24"/>
          <w:szCs w:val="24"/>
        </w:rPr>
        <w:t>ELIAS VASCONCELOS ARAÚJO – REPUBLICANOS.</w:t>
      </w:r>
    </w:p>
    <w:p w14:paraId="7BB0867A" w14:textId="77777777" w:rsidR="00BA35D2" w:rsidRDefault="00BA35D2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01A7097C" w14:textId="4C0053D7" w:rsidR="00BA35D2" w:rsidRDefault="00BA35D2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ERONDINA FERREIRA GODOY – PSD, MARIZA MARTINS BORGES – PODEMOS, RAFAEL ALAN DE MORAES ROMEIRO – PODEMOS E THIAGO HENRIQUE CAMPAGNARO MOITINHO – MDB.</w:t>
      </w:r>
    </w:p>
    <w:p w14:paraId="2C3BDA3A" w14:textId="2010FBEC" w:rsidR="008D1F4C" w:rsidRPr="00F05D99" w:rsidRDefault="008D1F4C" w:rsidP="00EB311B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3D225EC7" w14:textId="5131BA2E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instituída, no âmbito do Município de Itapevi, a “Semana Escolar de Combate à Violência Contra a Mulher”, a ser realizada anualmente no mês de março, nas escolas da rede pública e privada de ensino, em consonância com a Lei Federal nº 14.164, de 10 de junho de 2021, com os seguintes objetivos:</w:t>
      </w:r>
    </w:p>
    <w:p w14:paraId="2F89DBCC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B68BC0B" w14:textId="1CAB19B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 –</w:t>
      </w:r>
      <w:r>
        <w:rPr>
          <w:rFonts w:ascii="TimesNewRomanPSMT" w:hAnsi="TimesNewRomanPSMT" w:cs="TimesNewRomanPSMT"/>
          <w:sz w:val="24"/>
          <w:szCs w:val="24"/>
        </w:rPr>
        <w:t xml:space="preserve"> Promover o conhecimento e a divulgação das disposições da Lei nº 11.340, de 7 de agosto de 2006 (Lei Maria da Penha), bem como da legislação correlata de proteção aos direitos das mulheres;</w:t>
      </w:r>
    </w:p>
    <w:p w14:paraId="18575D2C" w14:textId="3AE8A11A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II –</w:t>
      </w:r>
      <w:r>
        <w:rPr>
          <w:rFonts w:ascii="TimesNewRomanPSMT" w:hAnsi="TimesNewRomanPSMT" w:cs="TimesNewRomanPSMT"/>
          <w:sz w:val="24"/>
          <w:szCs w:val="24"/>
        </w:rPr>
        <w:t xml:space="preserve"> Estimular a reflexão crítica entre estudantes, profissionais da educação, famílias e comunidade escolar acerca da prevenção e do enfrentamento da violência contra a mulher;</w:t>
      </w:r>
    </w:p>
    <w:p w14:paraId="6A9E2B3C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III –</w:t>
      </w:r>
      <w:r>
        <w:rPr>
          <w:rFonts w:ascii="TimesNewRomanPSMT" w:hAnsi="TimesNewRomanPSMT" w:cs="TimesNewRomanPSMT"/>
          <w:sz w:val="24"/>
          <w:szCs w:val="24"/>
        </w:rPr>
        <w:t xml:space="preserve"> Fomentar a integração da comunidade escolar no desenvolvimento de ações educativas e</w:t>
      </w:r>
    </w:p>
    <w:p w14:paraId="46B57A49" w14:textId="1CA65CCF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estratégias de enfrentamento às diversas formas de violência, especialmente a violência doméstica e familiar;</w:t>
      </w:r>
    </w:p>
    <w:p w14:paraId="7E5E3D34" w14:textId="6C362EC4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IV –</w:t>
      </w:r>
      <w:r>
        <w:rPr>
          <w:rFonts w:ascii="TimesNewRomanPSMT" w:hAnsi="TimesNewRomanPSMT" w:cs="TimesNewRomanPSMT"/>
          <w:sz w:val="24"/>
          <w:szCs w:val="24"/>
        </w:rPr>
        <w:t xml:space="preserve"> Orientar sobre os mecanismos de assistência à mulher em situação de violência, os instrumentos de proteção existentes e os meios para o registro de denúncias;</w:t>
      </w:r>
    </w:p>
    <w:p w14:paraId="57D516DF" w14:textId="0B603103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 –</w:t>
      </w:r>
      <w:r>
        <w:rPr>
          <w:rFonts w:ascii="TimesNewRomanPSMT" w:hAnsi="TimesNewRomanPSMT" w:cs="TimesNewRomanPSMT"/>
          <w:sz w:val="24"/>
          <w:szCs w:val="24"/>
        </w:rPr>
        <w:t xml:space="preserve"> Capacitar educadores e conscientizar os estudantes sobre a violência nas relações afetivas, promovendo relações baseadas no respeito, na dignidade e na igualdade;</w:t>
      </w:r>
    </w:p>
    <w:p w14:paraId="0E9CF759" w14:textId="662F3D1A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VI –</w:t>
      </w:r>
      <w:r>
        <w:rPr>
          <w:rFonts w:ascii="TimesNewRomanPSMT" w:hAnsi="TimesNewRomanPSMT" w:cs="TimesNewRomanPSMT"/>
          <w:sz w:val="24"/>
          <w:szCs w:val="24"/>
        </w:rPr>
        <w:t xml:space="preserve"> Promover a igualdade de gênero, contribuindo para a formação cidadã e para a prevenção da violência contra a mulher;</w:t>
      </w:r>
    </w:p>
    <w:p w14:paraId="36C9BA65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VII –</w:t>
      </w:r>
      <w:r>
        <w:rPr>
          <w:rFonts w:ascii="TimesNewRomanPSMT" w:hAnsi="TimesNewRomanPSMT" w:cs="TimesNewRomanPSMT"/>
          <w:sz w:val="24"/>
          <w:szCs w:val="24"/>
        </w:rPr>
        <w:t xml:space="preserve"> Incentivar a produção, divulgação e distribuição de materiais educativos relacionados ao</w:t>
      </w:r>
    </w:p>
    <w:p w14:paraId="74007CD8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combate à violência contra a mulher no ambiente escolar.</w:t>
      </w:r>
    </w:p>
    <w:p w14:paraId="0D982850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594E1425" w14:textId="27562624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 Semana Escolar de Combate à Violência Contra a Mulher poderá ser desenvolvida de acordo com o Projeto Político-Pedagógico (PPP) de cada unidade escolar e, preferencialmente, integrada às atividades alusivas ao Dia Internacional da Mulher, celebrado em 8 de março.</w:t>
      </w:r>
    </w:p>
    <w:p w14:paraId="6B353FE8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2367AC6E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Parágrafo único. </w:t>
      </w:r>
      <w:r>
        <w:rPr>
          <w:rFonts w:ascii="TimesNewRomanPSMT" w:hAnsi="TimesNewRomanPSMT" w:cs="TimesNewRomanPSMT"/>
          <w:sz w:val="24"/>
          <w:szCs w:val="24"/>
        </w:rPr>
        <w:t>A Semana instituída por esta Lei passará a integrar o Calendário Oficial de</w:t>
      </w:r>
    </w:p>
    <w:p w14:paraId="3B613821" w14:textId="5B4EBB65" w:rsidR="0075580A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Eventos do Município de Itapevi.</w:t>
      </w:r>
    </w:p>
    <w:p w14:paraId="7AC3EE5C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91B5431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Durante a Semana, as unidades escolares poderão promover, em sala de aula ou em</w:t>
      </w:r>
    </w:p>
    <w:p w14:paraId="3879B544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atividades extraclasse, entre outras ações:</w:t>
      </w:r>
    </w:p>
    <w:p w14:paraId="6A41149E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02BC6E6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 –</w:t>
      </w:r>
      <w:r>
        <w:rPr>
          <w:rFonts w:ascii="TimesNewRomanPSMT" w:hAnsi="TimesNewRomanPSMT" w:cs="TimesNewRomanPSMT"/>
          <w:sz w:val="24"/>
          <w:szCs w:val="24"/>
        </w:rPr>
        <w:t xml:space="preserve"> Concursos de produção literária, artística ou cultural sobre a temática;</w:t>
      </w:r>
    </w:p>
    <w:p w14:paraId="1A7A2D30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II –</w:t>
      </w:r>
      <w:r>
        <w:rPr>
          <w:rFonts w:ascii="TimesNewRomanPSMT" w:hAnsi="TimesNewRomanPSMT" w:cs="TimesNewRomanPSMT"/>
          <w:sz w:val="24"/>
          <w:szCs w:val="24"/>
        </w:rPr>
        <w:t xml:space="preserve"> Palestras, seminários e rodas de conversa;</w:t>
      </w:r>
    </w:p>
    <w:p w14:paraId="5C2456CA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III –</w:t>
      </w:r>
      <w:r>
        <w:rPr>
          <w:rFonts w:ascii="TimesNewRomanPSMT" w:hAnsi="TimesNewRomanPSMT" w:cs="TimesNewRomanPSMT"/>
          <w:sz w:val="24"/>
          <w:szCs w:val="24"/>
        </w:rPr>
        <w:t xml:space="preserve"> Estudos dirigidos, debates e projetos interdisciplinares;</w:t>
      </w:r>
    </w:p>
    <w:p w14:paraId="792260BE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IV –</w:t>
      </w:r>
      <w:r>
        <w:rPr>
          <w:rFonts w:ascii="TimesNewRomanPSMT" w:hAnsi="TimesNewRomanPSMT" w:cs="TimesNewRomanPSMT"/>
          <w:sz w:val="24"/>
          <w:szCs w:val="24"/>
        </w:rPr>
        <w:t xml:space="preserve"> Trabalhos pedagógicos voltados à prevenção da violência de gênero;</w:t>
      </w:r>
    </w:p>
    <w:p w14:paraId="36E63F4D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 –</w:t>
      </w:r>
      <w:r>
        <w:rPr>
          <w:rFonts w:ascii="TimesNewRomanPSMT" w:hAnsi="TimesNewRomanPSMT" w:cs="TimesNewRomanPSMT"/>
          <w:sz w:val="24"/>
          <w:szCs w:val="24"/>
        </w:rPr>
        <w:t xml:space="preserve"> Visitas orientadas a órgãos e serviços que integram a rede de proteção à mulher no Município;</w:t>
      </w:r>
    </w:p>
    <w:p w14:paraId="29AE2F1E" w14:textId="4E0CF219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VI –</w:t>
      </w:r>
      <w:r>
        <w:rPr>
          <w:rFonts w:ascii="TimesNewRomanPSMT" w:hAnsi="TimesNewRomanPSMT" w:cs="TimesNewRomanPSMT"/>
          <w:sz w:val="24"/>
          <w:szCs w:val="24"/>
        </w:rPr>
        <w:t xml:space="preserve"> Outras atividades pedagógicas compatíveis com a realidade escolar, a critério da unidade de ensino.</w:t>
      </w:r>
    </w:p>
    <w:p w14:paraId="4ED1846B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14DF136" w14:textId="77777777" w:rsidR="00BA35D2" w:rsidRDefault="00BA35D2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A524D78" w14:textId="389138BB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Para a execução das ações previstas nesta Lei, as escolas poderão firmar parcerias com:</w:t>
      </w:r>
    </w:p>
    <w:p w14:paraId="4CADC433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272B794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 –</w:t>
      </w:r>
      <w:r>
        <w:rPr>
          <w:rFonts w:ascii="TimesNewRomanPSMT" w:hAnsi="TimesNewRomanPSMT" w:cs="TimesNewRomanPSMT"/>
          <w:sz w:val="24"/>
          <w:szCs w:val="24"/>
        </w:rPr>
        <w:t xml:space="preserve"> Conselho Municipal dos Direitos da Mulher – CMDM;</w:t>
      </w:r>
    </w:p>
    <w:p w14:paraId="65F99170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II –</w:t>
      </w:r>
      <w:r>
        <w:rPr>
          <w:rFonts w:ascii="TimesNewRomanPSMT" w:hAnsi="TimesNewRomanPSMT" w:cs="TimesNewRomanPSMT"/>
          <w:sz w:val="24"/>
          <w:szCs w:val="24"/>
        </w:rPr>
        <w:t xml:space="preserve"> Centro de Referência Especializado de Assistência Social – CREAS;</w:t>
      </w:r>
    </w:p>
    <w:p w14:paraId="324D6C60" w14:textId="7A48F906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III 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BA42D3">
        <w:rPr>
          <w:rFonts w:ascii="TimesNewRomanPSMT" w:hAnsi="TimesNewRomanPSMT" w:cs="TimesNewRomanPSMT"/>
          <w:sz w:val="24"/>
          <w:szCs w:val="24"/>
        </w:rPr>
        <w:t>Ó</w:t>
      </w:r>
      <w:r>
        <w:rPr>
          <w:rFonts w:ascii="TimesNewRomanPSMT" w:hAnsi="TimesNewRomanPSMT" w:cs="TimesNewRomanPSMT"/>
          <w:sz w:val="24"/>
          <w:szCs w:val="24"/>
        </w:rPr>
        <w:t>rgãos da Secretaria Municipal de Assistência Social;</w:t>
      </w:r>
    </w:p>
    <w:p w14:paraId="5F436DEC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IV –</w:t>
      </w:r>
      <w:r>
        <w:rPr>
          <w:rFonts w:ascii="TimesNewRomanPSMT" w:hAnsi="TimesNewRomanPSMT" w:cs="TimesNewRomanPSMT"/>
          <w:sz w:val="24"/>
          <w:szCs w:val="24"/>
        </w:rPr>
        <w:t xml:space="preserve"> Polícia Civil;</w:t>
      </w:r>
    </w:p>
    <w:p w14:paraId="38DCE8C7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 –</w:t>
      </w:r>
      <w:r>
        <w:rPr>
          <w:rFonts w:ascii="TimesNewRomanPSMT" w:hAnsi="TimesNewRomanPSMT" w:cs="TimesNewRomanPSMT"/>
          <w:sz w:val="24"/>
          <w:szCs w:val="24"/>
        </w:rPr>
        <w:t xml:space="preserve"> Polícia Militar;</w:t>
      </w:r>
    </w:p>
    <w:p w14:paraId="0DDADF4E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 xml:space="preserve">VI </w:t>
      </w:r>
      <w:r>
        <w:rPr>
          <w:rFonts w:ascii="TimesNewRomanPSMT" w:hAnsi="TimesNewRomanPSMT" w:cs="TimesNewRomanPSMT"/>
          <w:sz w:val="24"/>
          <w:szCs w:val="24"/>
        </w:rPr>
        <w:t>– Ministério Público;</w:t>
      </w:r>
    </w:p>
    <w:p w14:paraId="20B571FA" w14:textId="28C8B7CC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311B">
        <w:rPr>
          <w:rFonts w:ascii="TimesNewRomanPSMT" w:hAnsi="TimesNewRomanPSMT" w:cs="TimesNewRomanPSMT"/>
          <w:b/>
          <w:bCs/>
          <w:sz w:val="24"/>
          <w:szCs w:val="24"/>
        </w:rPr>
        <w:t>VII 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BA42D3">
        <w:rPr>
          <w:rFonts w:ascii="TimesNewRomanPSMT" w:hAnsi="TimesNewRomanPSMT" w:cs="TimesNewRomanPSMT"/>
          <w:sz w:val="24"/>
          <w:szCs w:val="24"/>
        </w:rPr>
        <w:t>P</w:t>
      </w:r>
      <w:r>
        <w:rPr>
          <w:rFonts w:ascii="TimesNewRomanPSMT" w:hAnsi="TimesNewRomanPSMT" w:cs="TimesNewRomanPSMT"/>
          <w:sz w:val="24"/>
          <w:szCs w:val="24"/>
        </w:rPr>
        <w:t>essoas físicas ou jurídicas, entidades e organizações da sociedade civil que atuem na</w:t>
      </w:r>
    </w:p>
    <w:p w14:paraId="6BE257F6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promoção, defesa e garantia dos direitos das mulheres.</w:t>
      </w:r>
    </w:p>
    <w:p w14:paraId="7354EEC5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55577E5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A implementação das ações previstas nesta Lei não acarretará aumento de despesas ao</w:t>
      </w:r>
    </w:p>
    <w:p w14:paraId="1AE56C07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Município, podendo ser executada com recursos humanos e materiais já existentes, através de</w:t>
      </w:r>
    </w:p>
    <w:p w14:paraId="6E6E083B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dotação orçamentária através do governo federal, bem como por meio de parcerias institucionais.</w:t>
      </w:r>
    </w:p>
    <w:p w14:paraId="1BBCD1F4" w14:textId="77777777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D5F2EC4" w14:textId="6D6D4616" w:rsidR="00EB311B" w:rsidRDefault="00EB311B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6º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publicação, revogadas as disposições em contrário.</w:t>
      </w:r>
    </w:p>
    <w:p w14:paraId="77AD2C53" w14:textId="77777777" w:rsidR="0075580A" w:rsidRPr="00C16419" w:rsidRDefault="0075580A" w:rsidP="00EB311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246F834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3610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D0F3F" w14:textId="77777777" w:rsidR="00FD1ADC" w:rsidRDefault="00FD1ADC" w:rsidP="004B11B6">
      <w:pPr>
        <w:spacing w:after="0" w:line="240" w:lineRule="auto"/>
      </w:pPr>
      <w:r>
        <w:separator/>
      </w:r>
    </w:p>
  </w:endnote>
  <w:endnote w:type="continuationSeparator" w:id="0">
    <w:p w14:paraId="4A1EAC08" w14:textId="77777777" w:rsidR="00FD1ADC" w:rsidRDefault="00FD1ADC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FD1AD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DB15" w14:textId="77777777" w:rsidR="00FD1ADC" w:rsidRDefault="00FD1ADC" w:rsidP="004B11B6">
      <w:pPr>
        <w:spacing w:after="0" w:line="240" w:lineRule="auto"/>
      </w:pPr>
      <w:r>
        <w:separator/>
      </w:r>
    </w:p>
  </w:footnote>
  <w:footnote w:type="continuationSeparator" w:id="0">
    <w:p w14:paraId="61FA1AAC" w14:textId="77777777" w:rsidR="00FD1ADC" w:rsidRDefault="00FD1ADC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FD1ADC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FD1ADC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FD1ADC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2AE5"/>
    <w:rsid w:val="00164371"/>
    <w:rsid w:val="00172AAA"/>
    <w:rsid w:val="00182331"/>
    <w:rsid w:val="0019183A"/>
    <w:rsid w:val="001918C3"/>
    <w:rsid w:val="00191CAB"/>
    <w:rsid w:val="00192BC5"/>
    <w:rsid w:val="001A6081"/>
    <w:rsid w:val="001C3963"/>
    <w:rsid w:val="001C5BE8"/>
    <w:rsid w:val="001C5C64"/>
    <w:rsid w:val="001D483C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0D74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B311B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1ADC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649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2026-02-10T14:27:00Z</cp:lastPrinted>
  <dcterms:created xsi:type="dcterms:W3CDTF">2026-05-22T18:34:00Z</dcterms:created>
  <dcterms:modified xsi:type="dcterms:W3CDTF">2026-05-27T12:08:00Z</dcterms:modified>
</cp:coreProperties>
</file>