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B138" w14:textId="03BF4EFA" w:rsidR="00614F42" w:rsidRPr="00614F42" w:rsidRDefault="00614F42" w:rsidP="00614F42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Nº </w:t>
      </w:r>
      <w:r>
        <w:rPr>
          <w:rFonts w:ascii="Times New Roman" w:hAnsi="Times New Roman" w:cs="Times New Roman"/>
          <w:b/>
          <w:bCs/>
          <w:sz w:val="24"/>
          <w:szCs w:val="24"/>
        </w:rPr>
        <w:t>48</w:t>
      </w:r>
      <w:r w:rsidRPr="00614F42"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4B7FE278" w14:textId="77777777" w:rsidR="00614F42" w:rsidRPr="00614F42" w:rsidRDefault="00614F42" w:rsidP="00614F42">
      <w:pPr>
        <w:spacing w:after="16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04200577" w14:textId="2B4EBC7C" w:rsidR="00614F42" w:rsidRPr="00614F42" w:rsidRDefault="00614F42" w:rsidP="00614F42">
      <w:pPr>
        <w:spacing w:after="16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614F42">
        <w:rPr>
          <w:rFonts w:ascii="Times New Roman" w:hAnsi="Times New Roman" w:cs="Times New Roman"/>
          <w:sz w:val="24"/>
          <w:szCs w:val="24"/>
        </w:rPr>
        <w:t>Institui o Calendário de Encontro de Gestão Administrativa, para planejamento, acompanhamento e gestão das políticas, contratos e atividades institucionais da câmara municipal de Itapevi, e dá outras providências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614F42">
        <w:rPr>
          <w:rFonts w:ascii="Times New Roman" w:hAnsi="Times New Roman" w:cs="Times New Roman"/>
          <w:sz w:val="24"/>
          <w:szCs w:val="24"/>
        </w:rPr>
        <w:t>.</w:t>
      </w:r>
    </w:p>
    <w:p w14:paraId="5B7E60F9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ADD3A" w14:textId="00BE2111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CÂMARA MUNICIPAL DE ITAPEVI, </w:t>
      </w:r>
      <w:r>
        <w:rPr>
          <w:rFonts w:ascii="Times New Roman" w:hAnsi="Times New Roman" w:cs="Times New Roman"/>
          <w:sz w:val="24"/>
          <w:szCs w:val="24"/>
        </w:rPr>
        <w:t xml:space="preserve">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RESOLVE:</w:t>
      </w:r>
    </w:p>
    <w:p w14:paraId="1A5B19E2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CBC62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614F42">
        <w:rPr>
          <w:rFonts w:ascii="Times New Roman" w:hAnsi="Times New Roman" w:cs="Times New Roman"/>
          <w:sz w:val="24"/>
          <w:szCs w:val="24"/>
        </w:rPr>
        <w:t>Fica instituído o Calendário Anual de Encontros Mensais de Gestão Administrativa, a ser realizado de janeiro a novembro de cada exercício, mediante convocação da Presidência da Câmara.</w:t>
      </w:r>
    </w:p>
    <w:p w14:paraId="01D3C7CF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614F42">
        <w:rPr>
          <w:rFonts w:ascii="Times New Roman" w:hAnsi="Times New Roman" w:cs="Times New Roman"/>
          <w:sz w:val="24"/>
          <w:szCs w:val="24"/>
        </w:rPr>
        <w:t>Os encontros terão caráter técnico e deliberativo, com a participação obrigatória dos seguintes órgãos e setores:</w:t>
      </w:r>
    </w:p>
    <w:p w14:paraId="46E51660" w14:textId="39B19BAA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Superintendência das Coordenadorias;</w:t>
      </w:r>
    </w:p>
    <w:p w14:paraId="7418CE0A" w14:textId="2C93B5C9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Coordenadores e Diretores;</w:t>
      </w:r>
    </w:p>
    <w:p w14:paraId="4D03ED70" w14:textId="1F0B7B56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Procuradoria do Legislativo;</w:t>
      </w:r>
    </w:p>
    <w:p w14:paraId="7EC8DC5D" w14:textId="596B10E3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Controladoria Interna;</w:t>
      </w:r>
    </w:p>
    <w:p w14:paraId="38507FD4" w14:textId="40DB51F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Presidência da Câmara Municipal de Itapevi;</w:t>
      </w:r>
    </w:p>
    <w:p w14:paraId="34A4F943" w14:textId="4DB1008F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Outros convidados, conforme deliberação da Mesa Diretora.</w:t>
      </w:r>
    </w:p>
    <w:p w14:paraId="37FB4780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614F42">
        <w:rPr>
          <w:rFonts w:ascii="Times New Roman" w:hAnsi="Times New Roman" w:cs="Times New Roman"/>
          <w:sz w:val="24"/>
          <w:szCs w:val="24"/>
        </w:rPr>
        <w:t>Os encontros mensais terão como finalidade:</w:t>
      </w:r>
    </w:p>
    <w:p w14:paraId="5BB83BA7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Planejar, monitorar e avaliar as políticas públicas e os projetos institucionais;</w:t>
      </w:r>
    </w:p>
    <w:p w14:paraId="5A1AF96A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Acompanhar e revisar a execução contratual, os processos de compras e o cronograma de contratações públicas;</w:t>
      </w:r>
    </w:p>
    <w:p w14:paraId="3D8A41C7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Organizar os eventos institucionais e ações legislativas estratégicas;</w:t>
      </w:r>
    </w:p>
    <w:p w14:paraId="5298AEC7" w14:textId="33B0412E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Promover o alinhamento técnico com o Plano Anual de Contratações e os instrumentos de planejamento orçamentário (PPA, LDO, LOA);</w:t>
      </w:r>
    </w:p>
    <w:p w14:paraId="3DF2C0E8" w14:textId="402A0EDD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Aperfeiçoar os instrumentos de controle interno e de avaliação de resultados.</w:t>
      </w:r>
    </w:p>
    <w:p w14:paraId="24DF6218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614F42">
        <w:rPr>
          <w:rFonts w:ascii="Times New Roman" w:hAnsi="Times New Roman" w:cs="Times New Roman"/>
          <w:sz w:val="24"/>
          <w:szCs w:val="24"/>
        </w:rPr>
        <w:t>Os Coordenadores e Diretores das áreas técnicas e administrativas deverão, em cada encontro, apresentar:</w:t>
      </w:r>
    </w:p>
    <w:p w14:paraId="11BA1ABA" w14:textId="78BD1480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Resumo diagnóstico dos projetos, ações e atividades em andamento no respectivo setor;</w:t>
      </w:r>
    </w:p>
    <w:p w14:paraId="28C2F615" w14:textId="4ADA126E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Planejamento de propostas futuras, com detalhamento das iniciativas previstas e metas institucionais;</w:t>
      </w:r>
      <w:r w:rsidRPr="00614F42">
        <w:rPr>
          <w:rFonts w:ascii="Times New Roman" w:hAnsi="Times New Roman" w:cs="Times New Roman"/>
          <w:sz w:val="24"/>
          <w:szCs w:val="24"/>
        </w:rPr>
        <w:br/>
      </w:r>
      <w:r w:rsidRPr="00614F42">
        <w:rPr>
          <w:rFonts w:ascii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Quadro de análise de riscos, indicando os principais desafios e providências preventivas ou corretivas;</w:t>
      </w:r>
      <w:r w:rsidRPr="00614F42">
        <w:rPr>
          <w:rFonts w:ascii="Times New Roman" w:hAnsi="Times New Roman" w:cs="Times New Roman"/>
          <w:sz w:val="24"/>
          <w:szCs w:val="24"/>
        </w:rPr>
        <w:br/>
      </w:r>
      <w:r w:rsidRPr="00614F42"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Principais objetivos setoriais, alinhados ao Plano Anual de Contratações e demais instrumentos de planejamento e gestão.</w:t>
      </w:r>
    </w:p>
    <w:p w14:paraId="5A67426B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614F42">
        <w:rPr>
          <w:rFonts w:ascii="Times New Roman" w:hAnsi="Times New Roman" w:cs="Times New Roman"/>
          <w:sz w:val="24"/>
          <w:szCs w:val="24"/>
        </w:rPr>
        <w:t>. A apresentação deverá ser registrada em documento próprio e compartilhada com os participantes para fins de memória institucional e monitoramento.</w:t>
      </w:r>
    </w:p>
    <w:p w14:paraId="466BE4F4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614F42">
        <w:rPr>
          <w:rFonts w:ascii="Times New Roman" w:hAnsi="Times New Roman" w:cs="Times New Roman"/>
          <w:sz w:val="24"/>
          <w:szCs w:val="24"/>
        </w:rPr>
        <w:t>A Procuradoria do Legislativo e a Controladoria Interna deverão oferecer apoio técnico e institucional aos trabalhos, orientando sobre conformidade normativa, riscos e responsabilidades administrativas.</w:t>
      </w:r>
    </w:p>
    <w:p w14:paraId="343B3590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614F42">
        <w:rPr>
          <w:rFonts w:ascii="Times New Roman" w:hAnsi="Times New Roman" w:cs="Times New Roman"/>
          <w:sz w:val="24"/>
          <w:szCs w:val="24"/>
        </w:rPr>
        <w:t>As Atas Administrativas de cada encontro serão elaboradas pela Secretaria Geral da Mesa e conterão os registros das deliberações, responsabilidades atribuídas e cronogramas pactuados.</w:t>
      </w:r>
    </w:p>
    <w:p w14:paraId="5E82B5BE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7º</w:t>
      </w:r>
      <w:r w:rsidRPr="00614F42">
        <w:rPr>
          <w:rFonts w:ascii="Times New Roman" w:hAnsi="Times New Roman" w:cs="Times New Roman"/>
          <w:sz w:val="24"/>
          <w:szCs w:val="24"/>
        </w:rPr>
        <w:t xml:space="preserve"> A agenda dos encontros mensais será previamente definida pela Mesa Diretora, contemplando os seguintes eixos temáticos de interesse prioritário:</w:t>
      </w:r>
    </w:p>
    <w:p w14:paraId="0523E86B" w14:textId="0A3AEB39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Diagnóstico institucional e funcional;</w:t>
      </w:r>
    </w:p>
    <w:p w14:paraId="3ECAF946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Orçamento e finanças públicas;</w:t>
      </w:r>
    </w:p>
    <w:p w14:paraId="796203F2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Contratações públicas e compras;</w:t>
      </w:r>
    </w:p>
    <w:p w14:paraId="21A43841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14F42">
        <w:rPr>
          <w:rFonts w:ascii="Times New Roman" w:hAnsi="Times New Roman" w:cs="Times New Roman"/>
          <w:sz w:val="24"/>
          <w:szCs w:val="24"/>
        </w:rPr>
        <w:t>Pessoal e recursos humanos;</w:t>
      </w:r>
    </w:p>
    <w:p w14:paraId="0E6EEF7C" w14:textId="0DD0513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Controle interno e auditoria;</w:t>
      </w:r>
    </w:p>
    <w:p w14:paraId="265BD99F" w14:textId="012ED4FF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Planejamento estratégico e Agenda 2030;</w:t>
      </w:r>
    </w:p>
    <w:p w14:paraId="3AC81E87" w14:textId="138802DF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Comunicação institucional e transparência;</w:t>
      </w:r>
    </w:p>
    <w:p w14:paraId="247F3826" w14:textId="5A1C2F86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Participação e educação cidadã (Escola do Parlamento);</w:t>
      </w:r>
    </w:p>
    <w:p w14:paraId="0B497EF0" w14:textId="17BAC883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Infraestrutura, patrimônio e sustentabilidade;</w:t>
      </w:r>
    </w:p>
    <w:p w14:paraId="58BDF96A" w14:textId="2A420E56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Legislação, normativos internos e revisão de atos administrativos;</w:t>
      </w:r>
    </w:p>
    <w:p w14:paraId="57833175" w14:textId="615A5F5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14F42">
        <w:rPr>
          <w:rFonts w:ascii="Times New Roman" w:hAnsi="Times New Roman" w:cs="Times New Roman"/>
          <w:sz w:val="24"/>
          <w:szCs w:val="24"/>
        </w:rPr>
        <w:t xml:space="preserve"> Avaliação de políticas públicas e prestação de contas.</w:t>
      </w:r>
    </w:p>
    <w:p w14:paraId="1AF1B135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614F42">
        <w:rPr>
          <w:rFonts w:ascii="Times New Roman" w:hAnsi="Times New Roman" w:cs="Times New Roman"/>
          <w:sz w:val="24"/>
          <w:szCs w:val="24"/>
        </w:rPr>
        <w:t>Este Ato entra em vigor na data de sua publicação, revogadas as disposições em contrário.</w:t>
      </w:r>
    </w:p>
    <w:p w14:paraId="6C57C177" w14:textId="77777777" w:rsid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14F42" w:rsidRPr="00614F42" w14:paraId="398CDBDC" w14:textId="77777777">
        <w:tc>
          <w:tcPr>
            <w:tcW w:w="9344" w:type="dxa"/>
            <w:gridSpan w:val="2"/>
          </w:tcPr>
          <w:p w14:paraId="517CA92E" w14:textId="77777777" w:rsid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Sala das Sessões Bemvindo Moreira Nery, 25 de agosto de 2025.</w:t>
            </w:r>
          </w:p>
          <w:p w14:paraId="7C4131B5" w14:textId="77777777" w:rsid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136D78" w14:textId="34A3D7CA" w:rsidR="00614F42" w:rsidRP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1A5B3F01" w14:textId="77777777" w:rsidR="00614F42" w:rsidRP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4F42" w:rsidRPr="00614F42" w14:paraId="2293F922" w14:textId="77777777">
        <w:tc>
          <w:tcPr>
            <w:tcW w:w="4672" w:type="dxa"/>
          </w:tcPr>
          <w:p w14:paraId="5A07CB6A" w14:textId="13F4CBAB" w:rsidR="00614F42" w:rsidRP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781397D1" w14:textId="77777777" w:rsidR="00614F42" w:rsidRP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741D495A" w14:textId="00EA7AFA" w:rsidR="00614F42" w:rsidRPr="00614F42" w:rsidRDefault="00614F42" w:rsidP="00614F4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MAURÍCIO ALONSO MURAKAMI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614F42" w:rsidRPr="00614F42" w14:paraId="389FB99F" w14:textId="77777777">
        <w:tc>
          <w:tcPr>
            <w:tcW w:w="4672" w:type="dxa"/>
            <w:hideMark/>
          </w:tcPr>
          <w:p w14:paraId="43E232FE" w14:textId="49D2EBAD" w:rsidR="00614F42" w:rsidRPr="00614F42" w:rsidRDefault="00614F42" w:rsidP="001C5C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PRISCILLA SOUZA MARIANO CAVANHA</w:t>
            </w:r>
            <w:r w:rsidR="001C5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  <w:hideMark/>
          </w:tcPr>
          <w:p w14:paraId="26C397B5" w14:textId="3DB4B75C" w:rsidR="00614F42" w:rsidRPr="00614F42" w:rsidRDefault="00614F42" w:rsidP="001C5C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  <w:r w:rsidR="001C5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</w:tc>
      </w:tr>
    </w:tbl>
    <w:p w14:paraId="28507397" w14:textId="77777777" w:rsidR="00614F42" w:rsidRDefault="00614F4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280702" w14:textId="69C0E650" w:rsidR="00614F42" w:rsidRPr="00614F42" w:rsidRDefault="00614F42" w:rsidP="00614F42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F42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2BA1BFE1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AE0A5" w14:textId="77777777" w:rsidR="00614F42" w:rsidRPr="00614F42" w:rsidRDefault="00614F42" w:rsidP="00614F42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F42">
        <w:rPr>
          <w:rFonts w:ascii="Times New Roman" w:hAnsi="Times New Roman" w:cs="Times New Roman"/>
          <w:sz w:val="24"/>
          <w:szCs w:val="24"/>
        </w:rPr>
        <w:t>A presente propositura justifica-se devido a necessidade de integrar e organizar as ações administrativas e técnicas do Legislativo Municipal, e a importância do acompanhamento permanente das políticas públicas, da execução contratual e da preparação das futuras iniciativas da Câmara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1C5C8C" w:rsidRPr="00614F42" w14:paraId="7A8ADBE6" w14:textId="77777777" w:rsidTr="00114F1F">
        <w:tc>
          <w:tcPr>
            <w:tcW w:w="9344" w:type="dxa"/>
            <w:gridSpan w:val="2"/>
          </w:tcPr>
          <w:p w14:paraId="126D8004" w14:textId="77777777" w:rsidR="001C5C8C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4F4D2" w14:textId="77083F33" w:rsidR="001C5C8C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Sala das Sessões Bemvindo Moreira Nery, 25 de agosto de 2025.</w:t>
            </w:r>
          </w:p>
          <w:p w14:paraId="2FC0E20C" w14:textId="77777777" w:rsidR="001C5C8C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ACC453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1FF44F17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5C8C" w:rsidRPr="00614F42" w14:paraId="0415EF9E" w14:textId="77777777" w:rsidTr="00114F1F">
        <w:tc>
          <w:tcPr>
            <w:tcW w:w="4672" w:type="dxa"/>
          </w:tcPr>
          <w:p w14:paraId="3C230FC0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282002B5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6F1497F1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1C5C8C" w:rsidRPr="00614F42" w14:paraId="03ED1087" w14:textId="77777777" w:rsidTr="00114F1F">
        <w:tc>
          <w:tcPr>
            <w:tcW w:w="4672" w:type="dxa"/>
            <w:hideMark/>
          </w:tcPr>
          <w:p w14:paraId="589625A3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 CAVANHA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  <w:hideMark/>
          </w:tcPr>
          <w:p w14:paraId="132EC29F" w14:textId="77777777" w:rsidR="001C5C8C" w:rsidRPr="00614F42" w:rsidRDefault="001C5C8C" w:rsidP="00114F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14F4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</w:tc>
      </w:tr>
    </w:tbl>
    <w:p w14:paraId="6FB38CE8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1819D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63C13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8F26" w14:textId="77777777" w:rsidR="00614F42" w:rsidRPr="00614F42" w:rsidRDefault="00614F42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07F00" w14:textId="6E94FB1E" w:rsidR="0047047C" w:rsidRPr="00614F42" w:rsidRDefault="0047047C" w:rsidP="00614F4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047C" w:rsidRPr="00614F42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4F2E6" w14:textId="77777777" w:rsidR="009008CD" w:rsidRDefault="009008CD">
      <w:pPr>
        <w:spacing w:after="0" w:line="240" w:lineRule="auto"/>
      </w:pPr>
      <w:r>
        <w:separator/>
      </w:r>
    </w:p>
  </w:endnote>
  <w:endnote w:type="continuationSeparator" w:id="0">
    <w:p w14:paraId="0101E4FA" w14:textId="77777777" w:rsidR="009008CD" w:rsidRDefault="0090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1495D" w14:textId="77777777" w:rsidR="009008CD" w:rsidRDefault="009008CD">
      <w:pPr>
        <w:spacing w:after="0" w:line="240" w:lineRule="auto"/>
      </w:pPr>
      <w:r>
        <w:separator/>
      </w:r>
    </w:p>
  </w:footnote>
  <w:footnote w:type="continuationSeparator" w:id="0">
    <w:p w14:paraId="59B342F6" w14:textId="77777777" w:rsidR="009008CD" w:rsidRDefault="00900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C5C8C"/>
    <w:rsid w:val="00202527"/>
    <w:rsid w:val="002262F6"/>
    <w:rsid w:val="002272AF"/>
    <w:rsid w:val="0023162B"/>
    <w:rsid w:val="00243B9F"/>
    <w:rsid w:val="002501C3"/>
    <w:rsid w:val="00281321"/>
    <w:rsid w:val="002B5122"/>
    <w:rsid w:val="002D486D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3F02CE"/>
    <w:rsid w:val="00400270"/>
    <w:rsid w:val="004056EB"/>
    <w:rsid w:val="00426C62"/>
    <w:rsid w:val="00430659"/>
    <w:rsid w:val="0047047C"/>
    <w:rsid w:val="004A4039"/>
    <w:rsid w:val="004B11B6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C2C97"/>
    <w:rsid w:val="005F4268"/>
    <w:rsid w:val="00614F42"/>
    <w:rsid w:val="00643687"/>
    <w:rsid w:val="00672462"/>
    <w:rsid w:val="006B536A"/>
    <w:rsid w:val="006C48E3"/>
    <w:rsid w:val="006D314B"/>
    <w:rsid w:val="006F0BA0"/>
    <w:rsid w:val="007000C2"/>
    <w:rsid w:val="00722F88"/>
    <w:rsid w:val="0072434E"/>
    <w:rsid w:val="007320E9"/>
    <w:rsid w:val="00740B7D"/>
    <w:rsid w:val="007F1EDF"/>
    <w:rsid w:val="007F6A97"/>
    <w:rsid w:val="00853FBD"/>
    <w:rsid w:val="00870521"/>
    <w:rsid w:val="008E3BAE"/>
    <w:rsid w:val="009008CD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1F2F"/>
    <w:rsid w:val="00D56C7A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B339F"/>
    <w:rsid w:val="00ED0317"/>
    <w:rsid w:val="00ED5BCB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8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650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3</cp:revision>
  <cp:lastPrinted>2025-08-18T18:18:00Z</cp:lastPrinted>
  <dcterms:created xsi:type="dcterms:W3CDTF">2025-08-25T18:36:00Z</dcterms:created>
  <dcterms:modified xsi:type="dcterms:W3CDTF">2025-08-25T18:48:00Z</dcterms:modified>
</cp:coreProperties>
</file>